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8321" w14:textId="1DED1A15" w:rsidR="000C6B4E" w:rsidRPr="0090789D" w:rsidRDefault="000C6B4E" w:rsidP="009333F8">
      <w:pPr>
        <w:pStyle w:val="Title"/>
        <w:rPr>
          <w:rFonts w:cs="Arial"/>
          <w:sz w:val="48"/>
          <w:szCs w:val="48"/>
        </w:rPr>
      </w:pPr>
      <w:r w:rsidRPr="0090789D">
        <w:rPr>
          <w:rFonts w:cs="Arial"/>
          <w:sz w:val="48"/>
          <w:szCs w:val="48"/>
        </w:rPr>
        <w:t>CHAPTER 5</w:t>
      </w:r>
    </w:p>
    <w:p w14:paraId="449142FC" w14:textId="77777777" w:rsidR="000C6B4E" w:rsidRPr="00AA47F7" w:rsidRDefault="000C6B4E" w:rsidP="009333F8">
      <w:pPr>
        <w:pStyle w:val="Subtitle"/>
        <w:rPr>
          <w:rFonts w:cs="Arial"/>
          <w:sz w:val="52"/>
          <w:szCs w:val="52"/>
        </w:rPr>
      </w:pPr>
      <w:r w:rsidRPr="00AA47F7">
        <w:rPr>
          <w:rFonts w:cs="Arial"/>
          <w:sz w:val="52"/>
          <w:szCs w:val="52"/>
        </w:rPr>
        <w:t>PROCUREMENT PROCEDURES</w:t>
      </w:r>
    </w:p>
    <w:p w14:paraId="13C387A7" w14:textId="77777777" w:rsidR="000C6B4E" w:rsidRPr="00AA47F7" w:rsidRDefault="000C6B4E" w:rsidP="009333F8">
      <w:pPr>
        <w:jc w:val="center"/>
        <w:rPr>
          <w:rFonts w:cs="Arial"/>
          <w:b/>
          <w:sz w:val="20"/>
          <w:szCs w:val="20"/>
        </w:rPr>
      </w:pPr>
    </w:p>
    <w:p w14:paraId="4F37DDCB" w14:textId="5F9B0D6D" w:rsidR="000C6B4E" w:rsidRDefault="000C6B4E" w:rsidP="009333F8">
      <w:pPr>
        <w:jc w:val="center"/>
        <w:rPr>
          <w:rFonts w:cs="Arial"/>
        </w:rPr>
      </w:pPr>
      <w:r w:rsidRPr="009B3EC0">
        <w:rPr>
          <w:rFonts w:cs="Arial"/>
        </w:rPr>
        <w:t xml:space="preserve">TABLE OF CONTENTS  </w:t>
      </w:r>
    </w:p>
    <w:p w14:paraId="5A5EE810" w14:textId="05F98303" w:rsidR="009A13A0" w:rsidRDefault="009A13A0" w:rsidP="009333F8">
      <w:pPr>
        <w:jc w:val="center"/>
        <w:rPr>
          <w:rFonts w:cs="Arial"/>
        </w:rPr>
      </w:pPr>
    </w:p>
    <w:p w14:paraId="5023AB5B" w14:textId="36BAFA69" w:rsidR="009A13A0" w:rsidRPr="002B05E9" w:rsidRDefault="009A13A0" w:rsidP="009A13A0">
      <w:pPr>
        <w:jc w:val="right"/>
        <w:rPr>
          <w:rFonts w:cs="Arial"/>
        </w:rPr>
      </w:pPr>
      <w:r w:rsidRPr="002B05E9">
        <w:rPr>
          <w:rFonts w:cs="Arial"/>
        </w:rPr>
        <w:t>Page</w:t>
      </w:r>
    </w:p>
    <w:p w14:paraId="723CAA5E" w14:textId="5DA3A415" w:rsidR="002B05E9" w:rsidRPr="002B05E9" w:rsidRDefault="008E769E">
      <w:pPr>
        <w:pStyle w:val="TOC1"/>
        <w:rPr>
          <w:rFonts w:ascii="Arial" w:eastAsiaTheme="minorEastAsia" w:hAnsi="Arial" w:cs="Arial"/>
          <w:b w:val="0"/>
          <w:bCs w:val="0"/>
          <w:caps w:val="0"/>
          <w:noProof/>
          <w:kern w:val="2"/>
          <w:sz w:val="24"/>
          <w:szCs w:val="24"/>
          <w14:ligatures w14:val="standardContextual"/>
        </w:rPr>
      </w:pPr>
      <w:r w:rsidRPr="002B05E9">
        <w:rPr>
          <w:rFonts w:ascii="Arial" w:hAnsi="Arial" w:cs="Arial"/>
          <w:sz w:val="22"/>
          <w:szCs w:val="22"/>
        </w:rPr>
        <w:fldChar w:fldCharType="begin"/>
      </w:r>
      <w:r w:rsidRPr="002B05E9">
        <w:rPr>
          <w:rFonts w:ascii="Arial" w:hAnsi="Arial" w:cs="Arial"/>
          <w:sz w:val="22"/>
          <w:szCs w:val="22"/>
        </w:rPr>
        <w:instrText xml:space="preserve"> TOC \o "1-2" \h \z \u </w:instrText>
      </w:r>
      <w:r w:rsidRPr="002B05E9">
        <w:rPr>
          <w:rFonts w:ascii="Arial" w:hAnsi="Arial" w:cs="Arial"/>
          <w:sz w:val="22"/>
          <w:szCs w:val="22"/>
        </w:rPr>
        <w:fldChar w:fldCharType="separate"/>
      </w:r>
      <w:hyperlink w:anchor="_Toc171786688" w:history="1">
        <w:r w:rsidR="002B05E9" w:rsidRPr="002B05E9">
          <w:rPr>
            <w:rStyle w:val="Hyperlink"/>
            <w:rFonts w:ascii="Arial" w:hAnsi="Arial" w:cs="Arial"/>
            <w:noProof/>
          </w:rPr>
          <w:t>5.0 Introduction</w:t>
        </w:r>
        <w:r w:rsidR="002B05E9" w:rsidRPr="002B05E9">
          <w:rPr>
            <w:rFonts w:ascii="Arial" w:hAnsi="Arial" w:cs="Arial"/>
            <w:noProof/>
            <w:webHidden/>
          </w:rPr>
          <w:tab/>
        </w:r>
        <w:r w:rsidR="002B05E9" w:rsidRPr="002B05E9">
          <w:rPr>
            <w:rFonts w:ascii="Arial" w:hAnsi="Arial" w:cs="Arial"/>
            <w:noProof/>
            <w:webHidden/>
          </w:rPr>
          <w:fldChar w:fldCharType="begin"/>
        </w:r>
        <w:r w:rsidR="002B05E9" w:rsidRPr="002B05E9">
          <w:rPr>
            <w:rFonts w:ascii="Arial" w:hAnsi="Arial" w:cs="Arial"/>
            <w:noProof/>
            <w:webHidden/>
          </w:rPr>
          <w:instrText xml:space="preserve"> PAGEREF _Toc171786688 \h </w:instrText>
        </w:r>
        <w:r w:rsidR="002B05E9" w:rsidRPr="002B05E9">
          <w:rPr>
            <w:rFonts w:ascii="Arial" w:hAnsi="Arial" w:cs="Arial"/>
            <w:noProof/>
            <w:webHidden/>
          </w:rPr>
        </w:r>
        <w:r w:rsidR="002B05E9" w:rsidRPr="002B05E9">
          <w:rPr>
            <w:rFonts w:ascii="Arial" w:hAnsi="Arial" w:cs="Arial"/>
            <w:noProof/>
            <w:webHidden/>
          </w:rPr>
          <w:fldChar w:fldCharType="separate"/>
        </w:r>
        <w:r w:rsidR="002B05E9" w:rsidRPr="002B05E9">
          <w:rPr>
            <w:rFonts w:ascii="Arial" w:hAnsi="Arial" w:cs="Arial"/>
            <w:noProof/>
            <w:webHidden/>
          </w:rPr>
          <w:t>2</w:t>
        </w:r>
        <w:r w:rsidR="002B05E9" w:rsidRPr="002B05E9">
          <w:rPr>
            <w:rFonts w:ascii="Arial" w:hAnsi="Arial" w:cs="Arial"/>
            <w:noProof/>
            <w:webHidden/>
          </w:rPr>
          <w:fldChar w:fldCharType="end"/>
        </w:r>
      </w:hyperlink>
    </w:p>
    <w:p w14:paraId="1C60D38F" w14:textId="25DB0559"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689" w:history="1">
        <w:r w:rsidRPr="002B05E9">
          <w:rPr>
            <w:rStyle w:val="Hyperlink"/>
            <w:rFonts w:ascii="Arial" w:hAnsi="Arial" w:cs="Arial"/>
            <w:noProof/>
          </w:rPr>
          <w:t>5.1 Procurement Procedures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_Toc171786689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w:t>
        </w:r>
        <w:r w:rsidRPr="002B05E9">
          <w:rPr>
            <w:rFonts w:ascii="Arial" w:hAnsi="Arial" w:cs="Arial"/>
            <w:noProof/>
            <w:webHidden/>
          </w:rPr>
          <w:fldChar w:fldCharType="end"/>
        </w:r>
      </w:hyperlink>
    </w:p>
    <w:p w14:paraId="49A0CEB8" w14:textId="37F9FBE9"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0" w:history="1">
        <w:r w:rsidRPr="002B05E9">
          <w:rPr>
            <w:rStyle w:val="Hyperlink"/>
            <w:rFonts w:ascii="Arial" w:hAnsi="Arial" w:cs="Arial"/>
            <w:noProof/>
          </w:rPr>
          <w:t>5.1.1 Features of Good Procurement Systems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_Toc171786690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w:t>
        </w:r>
        <w:r w:rsidRPr="002B05E9">
          <w:rPr>
            <w:rFonts w:ascii="Arial" w:hAnsi="Arial" w:cs="Arial"/>
            <w:noProof/>
            <w:webHidden/>
          </w:rPr>
          <w:fldChar w:fldCharType="end"/>
        </w:r>
      </w:hyperlink>
    </w:p>
    <w:p w14:paraId="39274468" w14:textId="37D742E4"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1" w:history="1">
        <w:r w:rsidRPr="002B05E9">
          <w:rPr>
            <w:rStyle w:val="Hyperlink"/>
            <w:rFonts w:ascii="Arial" w:hAnsi="Arial" w:cs="Arial"/>
            <w:noProof/>
          </w:rPr>
          <w:t>5.1.2 Methods of Procurement</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_Toc171786691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3</w:t>
        </w:r>
        <w:r w:rsidRPr="002B05E9">
          <w:rPr>
            <w:rFonts w:ascii="Arial" w:hAnsi="Arial" w:cs="Arial"/>
            <w:noProof/>
            <w:webHidden/>
          </w:rPr>
          <w:fldChar w:fldCharType="end"/>
        </w:r>
      </w:hyperlink>
    </w:p>
    <w:p w14:paraId="32782246" w14:textId="06AC9761"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692" w:history="1">
        <w:r w:rsidRPr="002B05E9">
          <w:rPr>
            <w:rStyle w:val="Hyperlink"/>
            <w:rFonts w:ascii="Arial" w:hAnsi="Arial" w:cs="Arial"/>
            <w:noProof/>
            <w:spacing w:val="-10"/>
          </w:rPr>
          <w:t>5.2 Selecting a Provider – Non-Construction Services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_Toc171786692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4</w:t>
        </w:r>
        <w:r w:rsidRPr="002B05E9">
          <w:rPr>
            <w:rFonts w:ascii="Arial" w:hAnsi="Arial" w:cs="Arial"/>
            <w:noProof/>
            <w:webHidden/>
          </w:rPr>
          <w:fldChar w:fldCharType="end"/>
        </w:r>
      </w:hyperlink>
    </w:p>
    <w:p w14:paraId="45C79EC3" w14:textId="781D95AE"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3" w:history="1">
        <w:r w:rsidRPr="002B05E9">
          <w:rPr>
            <w:rStyle w:val="Hyperlink"/>
            <w:rFonts w:ascii="Arial" w:hAnsi="Arial" w:cs="Arial"/>
            <w:noProof/>
          </w:rPr>
          <w:t>5.2.1 Applicability of Competitive Proposals (Administration and Professional Services Contracts)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_Toc171786693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4</w:t>
        </w:r>
        <w:r w:rsidRPr="002B05E9">
          <w:rPr>
            <w:rFonts w:ascii="Arial" w:hAnsi="Arial" w:cs="Arial"/>
            <w:noProof/>
            <w:webHidden/>
          </w:rPr>
          <w:fldChar w:fldCharType="end"/>
        </w:r>
      </w:hyperlink>
    </w:p>
    <w:p w14:paraId="162275AF" w14:textId="494864AD"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4" w:history="1">
        <w:r w:rsidRPr="002B05E9">
          <w:rPr>
            <w:rStyle w:val="Hyperlink"/>
            <w:rFonts w:ascii="Arial" w:hAnsi="Arial" w:cs="Arial"/>
            <w:noProof/>
          </w:rPr>
          <w:t>5.2.2 Step-By-Step Selection – Pre-Qualified Provider Method</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_Toc171786694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7</w:t>
        </w:r>
        <w:r w:rsidRPr="002B05E9">
          <w:rPr>
            <w:rFonts w:ascii="Arial" w:hAnsi="Arial" w:cs="Arial"/>
            <w:noProof/>
            <w:webHidden/>
          </w:rPr>
          <w:fldChar w:fldCharType="end"/>
        </w:r>
      </w:hyperlink>
    </w:p>
    <w:p w14:paraId="4309820E" w14:textId="75DA44E5"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5" w:history="1">
        <w:r w:rsidRPr="002B05E9">
          <w:rPr>
            <w:rStyle w:val="Hyperlink"/>
            <w:rFonts w:ascii="Arial" w:hAnsi="Arial" w:cs="Arial"/>
            <w:noProof/>
          </w:rPr>
          <w:t>5.2.3 Step-by-Step Selection Procedures for Competitive Proposal (Traditional)</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_Toc171786695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7</w:t>
        </w:r>
        <w:r w:rsidRPr="002B05E9">
          <w:rPr>
            <w:rFonts w:ascii="Arial" w:hAnsi="Arial" w:cs="Arial"/>
            <w:noProof/>
            <w:webHidden/>
          </w:rPr>
          <w:fldChar w:fldCharType="end"/>
        </w:r>
      </w:hyperlink>
    </w:p>
    <w:p w14:paraId="5ECF37DD" w14:textId="7C0DB013"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6" w:history="1">
        <w:r w:rsidRPr="002B05E9">
          <w:rPr>
            <w:rStyle w:val="Hyperlink"/>
            <w:rFonts w:ascii="Arial" w:hAnsi="Arial" w:cs="Arial"/>
            <w:noProof/>
          </w:rPr>
          <w:t>5.2.4 Selection of Subrecipient Services Provider</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_Toc171786696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13</w:t>
        </w:r>
        <w:r w:rsidRPr="002B05E9">
          <w:rPr>
            <w:rFonts w:ascii="Arial" w:hAnsi="Arial" w:cs="Arial"/>
            <w:noProof/>
            <w:webHidden/>
          </w:rPr>
          <w:fldChar w:fldCharType="end"/>
        </w:r>
      </w:hyperlink>
    </w:p>
    <w:p w14:paraId="4E9EFEE3" w14:textId="7A23EBCA"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697" w:history="1">
        <w:r w:rsidRPr="002B05E9">
          <w:rPr>
            <w:rStyle w:val="Hyperlink"/>
            <w:rFonts w:ascii="Arial" w:hAnsi="Arial" w:cs="Arial"/>
            <w:noProof/>
          </w:rPr>
          <w:t>5.3 Construction Services and Materials Contracts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_Toc171786697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13</w:t>
        </w:r>
        <w:r w:rsidRPr="002B05E9">
          <w:rPr>
            <w:rFonts w:ascii="Arial" w:hAnsi="Arial" w:cs="Arial"/>
            <w:noProof/>
            <w:webHidden/>
          </w:rPr>
          <w:fldChar w:fldCharType="end"/>
        </w:r>
      </w:hyperlink>
    </w:p>
    <w:p w14:paraId="44A52FFE" w14:textId="1F1B10B6"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8" w:history="1">
        <w:r w:rsidRPr="002B05E9">
          <w:rPr>
            <w:rStyle w:val="Hyperlink"/>
            <w:rFonts w:ascii="Arial" w:hAnsi="Arial" w:cs="Arial"/>
            <w:noProof/>
          </w:rPr>
          <w:t>5.3.1 Applicability</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_Toc171786698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13</w:t>
        </w:r>
        <w:r w:rsidRPr="002B05E9">
          <w:rPr>
            <w:rFonts w:ascii="Arial" w:hAnsi="Arial" w:cs="Arial"/>
            <w:noProof/>
            <w:webHidden/>
          </w:rPr>
          <w:fldChar w:fldCharType="end"/>
        </w:r>
      </w:hyperlink>
    </w:p>
    <w:p w14:paraId="102F01D6" w14:textId="72B08D22"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699" w:history="1">
        <w:r w:rsidRPr="002B05E9">
          <w:rPr>
            <w:rStyle w:val="Hyperlink"/>
            <w:rFonts w:ascii="Arial" w:hAnsi="Arial" w:cs="Arial"/>
            <w:noProof/>
          </w:rPr>
          <w:t>5.3.2 Sealed Bid Procurement – Traditional Method</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_Toc171786699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14</w:t>
        </w:r>
        <w:r w:rsidRPr="002B05E9">
          <w:rPr>
            <w:rFonts w:ascii="Arial" w:hAnsi="Arial" w:cs="Arial"/>
            <w:noProof/>
            <w:webHidden/>
          </w:rPr>
          <w:fldChar w:fldCharType="end"/>
        </w:r>
      </w:hyperlink>
    </w:p>
    <w:p w14:paraId="76662B0E" w14:textId="447635AA"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0" w:history="1">
        <w:r w:rsidRPr="002B05E9">
          <w:rPr>
            <w:rStyle w:val="Hyperlink"/>
            <w:rFonts w:ascii="Arial" w:hAnsi="Arial" w:cs="Arial"/>
            <w:noProof/>
          </w:rPr>
          <w:t>5.3.3 Sealed Bid Procurement – Third Party Cooperative Purchase</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_Toc171786700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17</w:t>
        </w:r>
        <w:r w:rsidRPr="002B05E9">
          <w:rPr>
            <w:rFonts w:ascii="Arial" w:hAnsi="Arial" w:cs="Arial"/>
            <w:noProof/>
            <w:webHidden/>
          </w:rPr>
          <w:fldChar w:fldCharType="end"/>
        </w:r>
      </w:hyperlink>
    </w:p>
    <w:p w14:paraId="488EC0C1" w14:textId="54A4053E"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1" w:history="1">
        <w:r w:rsidRPr="002B05E9">
          <w:rPr>
            <w:rStyle w:val="Hyperlink"/>
            <w:rFonts w:ascii="Arial" w:hAnsi="Arial" w:cs="Arial"/>
            <w:noProof/>
          </w:rPr>
          <w:t>5.3.4 Small Purchase Procurement</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_Toc171786701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17</w:t>
        </w:r>
        <w:r w:rsidRPr="002B05E9">
          <w:rPr>
            <w:rFonts w:ascii="Arial" w:hAnsi="Arial" w:cs="Arial"/>
            <w:noProof/>
            <w:webHidden/>
          </w:rPr>
          <w:fldChar w:fldCharType="end"/>
        </w:r>
      </w:hyperlink>
    </w:p>
    <w:p w14:paraId="278591F1" w14:textId="41C22B05"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2" w:history="1">
        <w:r w:rsidRPr="002B05E9">
          <w:rPr>
            <w:rStyle w:val="Hyperlink"/>
            <w:rFonts w:ascii="Arial" w:hAnsi="Arial" w:cs="Arial"/>
            <w:noProof/>
          </w:rPr>
          <w:t>5.3.5 Micro-Purchases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_Toc171786702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19</w:t>
        </w:r>
        <w:r w:rsidRPr="002B05E9">
          <w:rPr>
            <w:rFonts w:ascii="Arial" w:hAnsi="Arial" w:cs="Arial"/>
            <w:noProof/>
            <w:webHidden/>
          </w:rPr>
          <w:fldChar w:fldCharType="end"/>
        </w:r>
      </w:hyperlink>
    </w:p>
    <w:p w14:paraId="4A3C9E9F" w14:textId="6F7EF7A6"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703" w:history="1">
        <w:r w:rsidRPr="002B05E9">
          <w:rPr>
            <w:rStyle w:val="Hyperlink"/>
            <w:rFonts w:ascii="Arial" w:hAnsi="Arial" w:cs="Arial"/>
            <w:noProof/>
          </w:rPr>
          <w:t>5.4 Non-Competitive Proposal Procurement</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_Toc171786703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20</w:t>
        </w:r>
        <w:r w:rsidRPr="002B05E9">
          <w:rPr>
            <w:rFonts w:ascii="Arial" w:hAnsi="Arial" w:cs="Arial"/>
            <w:noProof/>
            <w:webHidden/>
          </w:rPr>
          <w:fldChar w:fldCharType="end"/>
        </w:r>
      </w:hyperlink>
    </w:p>
    <w:p w14:paraId="129E0BF6" w14:textId="744858D1"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704" w:history="1">
        <w:r w:rsidRPr="002B05E9">
          <w:rPr>
            <w:rStyle w:val="Hyperlink"/>
            <w:rFonts w:ascii="Arial" w:hAnsi="Arial" w:cs="Arial"/>
            <w:noProof/>
          </w:rPr>
          <w:t>5.5 Steps for Award and Contracting</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_Toc171786704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21</w:t>
        </w:r>
        <w:r w:rsidRPr="002B05E9">
          <w:rPr>
            <w:rFonts w:ascii="Arial" w:hAnsi="Arial" w:cs="Arial"/>
            <w:noProof/>
            <w:webHidden/>
          </w:rPr>
          <w:fldChar w:fldCharType="end"/>
        </w:r>
      </w:hyperlink>
    </w:p>
    <w:p w14:paraId="543D99CF" w14:textId="3BE37851"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5" w:history="1">
        <w:r w:rsidRPr="002B05E9">
          <w:rPr>
            <w:rStyle w:val="Hyperlink"/>
            <w:rFonts w:ascii="Arial" w:hAnsi="Arial" w:cs="Arial"/>
            <w:noProof/>
          </w:rPr>
          <w:t>5.5.1 SAM Clearance</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_Toc171786705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21</w:t>
        </w:r>
        <w:r w:rsidRPr="002B05E9">
          <w:rPr>
            <w:rFonts w:ascii="Arial" w:hAnsi="Arial" w:cs="Arial"/>
            <w:noProof/>
            <w:webHidden/>
          </w:rPr>
          <w:fldChar w:fldCharType="end"/>
        </w:r>
      </w:hyperlink>
    </w:p>
    <w:p w14:paraId="5A4271F0" w14:textId="72C4C005"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6" w:history="1">
        <w:r w:rsidRPr="002B05E9">
          <w:rPr>
            <w:rStyle w:val="Hyperlink"/>
            <w:rFonts w:ascii="Arial" w:hAnsi="Arial" w:cs="Arial"/>
            <w:noProof/>
          </w:rPr>
          <w:t>5.5.2 Award by Governing Body</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_Toc171786706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21</w:t>
        </w:r>
        <w:r w:rsidRPr="002B05E9">
          <w:rPr>
            <w:rFonts w:ascii="Arial" w:hAnsi="Arial" w:cs="Arial"/>
            <w:noProof/>
            <w:webHidden/>
          </w:rPr>
          <w:fldChar w:fldCharType="end"/>
        </w:r>
      </w:hyperlink>
    </w:p>
    <w:p w14:paraId="4219F8ED" w14:textId="7EB9147D"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7" w:history="1">
        <w:r w:rsidRPr="002B05E9">
          <w:rPr>
            <w:rStyle w:val="Hyperlink"/>
            <w:rFonts w:ascii="Arial" w:hAnsi="Arial" w:cs="Arial"/>
            <w:noProof/>
          </w:rPr>
          <w:t>5.5.3 Prepare and Execute Contract/Agreement</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_Toc171786707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21</w:t>
        </w:r>
        <w:r w:rsidRPr="002B05E9">
          <w:rPr>
            <w:rFonts w:ascii="Arial" w:hAnsi="Arial" w:cs="Arial"/>
            <w:noProof/>
            <w:webHidden/>
          </w:rPr>
          <w:fldChar w:fldCharType="end"/>
        </w:r>
      </w:hyperlink>
    </w:p>
    <w:p w14:paraId="796F75C9" w14:textId="2B83CEA2"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8" w:history="1">
        <w:r w:rsidRPr="002B05E9">
          <w:rPr>
            <w:rStyle w:val="Hyperlink"/>
            <w:rFonts w:ascii="Arial" w:hAnsi="Arial" w:cs="Arial"/>
            <w:noProof/>
          </w:rPr>
          <w:t>5.5.4 Workers’ Compensation Requirements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_Toc171786708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23</w:t>
        </w:r>
        <w:r w:rsidRPr="002B05E9">
          <w:rPr>
            <w:rFonts w:ascii="Arial" w:hAnsi="Arial" w:cs="Arial"/>
            <w:noProof/>
            <w:webHidden/>
          </w:rPr>
          <w:fldChar w:fldCharType="end"/>
        </w:r>
      </w:hyperlink>
    </w:p>
    <w:p w14:paraId="44068A1E" w14:textId="03457B5D"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09" w:history="1">
        <w:r w:rsidRPr="002B05E9">
          <w:rPr>
            <w:rStyle w:val="Hyperlink"/>
            <w:rFonts w:ascii="Arial" w:hAnsi="Arial" w:cs="Arial"/>
            <w:noProof/>
          </w:rPr>
          <w:t>5.5.5 Bonding Information</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_Toc171786709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23</w:t>
        </w:r>
        <w:r w:rsidRPr="002B05E9">
          <w:rPr>
            <w:rFonts w:ascii="Arial" w:hAnsi="Arial" w:cs="Arial"/>
            <w:noProof/>
            <w:webHidden/>
          </w:rPr>
          <w:fldChar w:fldCharType="end"/>
        </w:r>
      </w:hyperlink>
    </w:p>
    <w:p w14:paraId="49ED8288" w14:textId="19A5ADF9"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710" w:history="1">
        <w:r w:rsidRPr="002B05E9">
          <w:rPr>
            <w:rStyle w:val="Hyperlink"/>
            <w:rFonts w:ascii="Arial" w:hAnsi="Arial" w:cs="Arial"/>
            <w:noProof/>
          </w:rPr>
          <w:t>5.6 Changes to an Executed Contract</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_Toc171786710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24</w:t>
        </w:r>
        <w:r w:rsidRPr="002B05E9">
          <w:rPr>
            <w:rFonts w:ascii="Arial" w:hAnsi="Arial" w:cs="Arial"/>
            <w:noProof/>
            <w:webHidden/>
          </w:rPr>
          <w:fldChar w:fldCharType="end"/>
        </w:r>
      </w:hyperlink>
    </w:p>
    <w:p w14:paraId="37B568E2" w14:textId="3B723C24"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11" w:history="1">
        <w:r w:rsidRPr="002B05E9">
          <w:rPr>
            <w:rStyle w:val="Hyperlink"/>
            <w:rFonts w:ascii="Arial" w:hAnsi="Arial" w:cs="Arial"/>
            <w:noProof/>
          </w:rPr>
          <w:t>5.6.1 Change Orders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_Toc171786711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24</w:t>
        </w:r>
        <w:r w:rsidRPr="002B05E9">
          <w:rPr>
            <w:rFonts w:ascii="Arial" w:hAnsi="Arial" w:cs="Arial"/>
            <w:noProof/>
            <w:webHidden/>
          </w:rPr>
          <w:fldChar w:fldCharType="end"/>
        </w:r>
      </w:hyperlink>
    </w:p>
    <w:p w14:paraId="458578E6" w14:textId="17409065"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12" w:history="1">
        <w:r w:rsidRPr="002B05E9">
          <w:rPr>
            <w:rStyle w:val="Hyperlink"/>
            <w:rFonts w:ascii="Arial" w:hAnsi="Arial" w:cs="Arial"/>
            <w:noProof/>
          </w:rPr>
          <w:t>5.6.2 Performance Bond Claims and Assignment to New Contractor</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_Toc171786712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26</w:t>
        </w:r>
        <w:r w:rsidRPr="002B05E9">
          <w:rPr>
            <w:rFonts w:ascii="Arial" w:hAnsi="Arial" w:cs="Arial"/>
            <w:noProof/>
            <w:webHidden/>
          </w:rPr>
          <w:fldChar w:fldCharType="end"/>
        </w:r>
      </w:hyperlink>
    </w:p>
    <w:p w14:paraId="2C7BDE61" w14:textId="2E7E827B"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713" w:history="1">
        <w:r w:rsidRPr="002B05E9">
          <w:rPr>
            <w:rStyle w:val="Hyperlink"/>
            <w:rFonts w:ascii="Arial" w:hAnsi="Arial" w:cs="Arial"/>
            <w:noProof/>
          </w:rPr>
          <w:t>5.7 Recordkeeping Procedures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_Toc171786713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27</w:t>
        </w:r>
        <w:r w:rsidRPr="002B05E9">
          <w:rPr>
            <w:rFonts w:ascii="Arial" w:hAnsi="Arial" w:cs="Arial"/>
            <w:noProof/>
            <w:webHidden/>
          </w:rPr>
          <w:fldChar w:fldCharType="end"/>
        </w:r>
      </w:hyperlink>
    </w:p>
    <w:p w14:paraId="270F0C60" w14:textId="01D47D24"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14" w:history="1">
        <w:r w:rsidRPr="002B05E9">
          <w:rPr>
            <w:rStyle w:val="Hyperlink"/>
            <w:rFonts w:ascii="Arial" w:hAnsi="Arial" w:cs="Arial"/>
            <w:noProof/>
          </w:rPr>
          <w:t>5.7.1 Local Records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_Toc171786714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27</w:t>
        </w:r>
        <w:r w:rsidRPr="002B05E9">
          <w:rPr>
            <w:rFonts w:ascii="Arial" w:hAnsi="Arial" w:cs="Arial"/>
            <w:noProof/>
            <w:webHidden/>
          </w:rPr>
          <w:fldChar w:fldCharType="end"/>
        </w:r>
      </w:hyperlink>
    </w:p>
    <w:p w14:paraId="075A9040" w14:textId="3E777A86"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15" w:history="1">
        <w:r w:rsidRPr="002B05E9">
          <w:rPr>
            <w:rStyle w:val="Hyperlink"/>
            <w:rFonts w:ascii="Arial" w:hAnsi="Arial" w:cs="Arial"/>
            <w:noProof/>
          </w:rPr>
          <w:t>5.7.2 Micro-purchases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_Toc171786715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28</w:t>
        </w:r>
        <w:r w:rsidRPr="002B05E9">
          <w:rPr>
            <w:rFonts w:ascii="Arial" w:hAnsi="Arial" w:cs="Arial"/>
            <w:noProof/>
            <w:webHidden/>
          </w:rPr>
          <w:fldChar w:fldCharType="end"/>
        </w:r>
      </w:hyperlink>
    </w:p>
    <w:p w14:paraId="385CA4C4" w14:textId="6F4F6D44"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16" w:history="1">
        <w:r w:rsidRPr="002B05E9">
          <w:rPr>
            <w:rStyle w:val="Hyperlink"/>
            <w:rFonts w:ascii="Arial" w:hAnsi="Arial" w:cs="Arial"/>
            <w:noProof/>
          </w:rPr>
          <w:t>5.7.3 Competitive Proposal – Non-Construction Services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_Toc171786716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28</w:t>
        </w:r>
        <w:r w:rsidRPr="002B05E9">
          <w:rPr>
            <w:rFonts w:ascii="Arial" w:hAnsi="Arial" w:cs="Arial"/>
            <w:noProof/>
            <w:webHidden/>
          </w:rPr>
          <w:fldChar w:fldCharType="end"/>
        </w:r>
      </w:hyperlink>
    </w:p>
    <w:p w14:paraId="5529D1E9" w14:textId="1E992193"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17" w:history="1">
        <w:r w:rsidRPr="002B05E9">
          <w:rPr>
            <w:rStyle w:val="Hyperlink"/>
            <w:rFonts w:ascii="Arial" w:hAnsi="Arial" w:cs="Arial"/>
            <w:noProof/>
          </w:rPr>
          <w:t>5.7.4 Construction and Material/Equipment Purchases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_Toc171786717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28</w:t>
        </w:r>
        <w:r w:rsidRPr="002B05E9">
          <w:rPr>
            <w:rFonts w:ascii="Arial" w:hAnsi="Arial" w:cs="Arial"/>
            <w:noProof/>
            <w:webHidden/>
          </w:rPr>
          <w:fldChar w:fldCharType="end"/>
        </w:r>
      </w:hyperlink>
    </w:p>
    <w:p w14:paraId="4066C843" w14:textId="6AF78981"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18" w:history="1">
        <w:r w:rsidRPr="002B05E9">
          <w:rPr>
            <w:rStyle w:val="Hyperlink"/>
            <w:rFonts w:ascii="Arial" w:hAnsi="Arial" w:cs="Arial"/>
            <w:noProof/>
          </w:rPr>
          <w:t>5.7.5 Certificate of Construction Completion (COCC)</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_Toc171786718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29</w:t>
        </w:r>
        <w:r w:rsidRPr="002B05E9">
          <w:rPr>
            <w:rFonts w:ascii="Arial" w:hAnsi="Arial" w:cs="Arial"/>
            <w:noProof/>
            <w:webHidden/>
          </w:rPr>
          <w:fldChar w:fldCharType="end"/>
        </w:r>
      </w:hyperlink>
    </w:p>
    <w:p w14:paraId="421D8C67" w14:textId="4C68EBC1"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719" w:history="1">
        <w:r w:rsidRPr="002B05E9">
          <w:rPr>
            <w:rStyle w:val="Hyperlink"/>
            <w:rFonts w:ascii="Arial" w:hAnsi="Arial" w:cs="Arial"/>
            <w:noProof/>
          </w:rPr>
          <w:t>5.8 Federal and State Laws Governing Procurement of Services, Supplies and Non-Real Property</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_Toc171786719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29</w:t>
        </w:r>
        <w:r w:rsidRPr="002B05E9">
          <w:rPr>
            <w:rFonts w:ascii="Arial" w:hAnsi="Arial" w:cs="Arial"/>
            <w:noProof/>
            <w:webHidden/>
          </w:rPr>
          <w:fldChar w:fldCharType="end"/>
        </w:r>
      </w:hyperlink>
    </w:p>
    <w:p w14:paraId="02A03200" w14:textId="1052AD6E"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20" w:history="1">
        <w:r w:rsidRPr="002B05E9">
          <w:rPr>
            <w:rStyle w:val="Hyperlink"/>
            <w:rFonts w:ascii="Arial" w:hAnsi="Arial" w:cs="Arial"/>
            <w:noProof/>
          </w:rPr>
          <w:t>5.8.1 State Laws &amp; Regulations</w:t>
        </w:r>
        <w:r w:rsidRPr="002B05E9">
          <w:rPr>
            <w:rFonts w:ascii="Arial" w:hAnsi="Arial" w:cs="Arial"/>
            <w:noProof/>
            <w:webHidden/>
          </w:rPr>
          <w:tab/>
        </w:r>
        <w:r w:rsidRPr="002B05E9">
          <w:rPr>
            <w:rFonts w:ascii="Arial" w:hAnsi="Arial" w:cs="Arial"/>
            <w:noProof/>
            <w:webHidden/>
            <w:sz w:val="22"/>
            <w:szCs w:val="22"/>
          </w:rPr>
          <w:fldChar w:fldCharType="begin"/>
        </w:r>
        <w:r w:rsidRPr="002B05E9">
          <w:rPr>
            <w:rFonts w:ascii="Arial" w:hAnsi="Arial" w:cs="Arial"/>
            <w:noProof/>
            <w:webHidden/>
            <w:sz w:val="22"/>
            <w:szCs w:val="22"/>
          </w:rPr>
          <w:instrText xml:space="preserve"> PAGEREF _Toc171786720 \h </w:instrText>
        </w:r>
        <w:r w:rsidRPr="002B05E9">
          <w:rPr>
            <w:rFonts w:ascii="Arial" w:hAnsi="Arial" w:cs="Arial"/>
            <w:noProof/>
            <w:webHidden/>
            <w:sz w:val="22"/>
            <w:szCs w:val="22"/>
          </w:rPr>
        </w:r>
        <w:r w:rsidRPr="002B05E9">
          <w:rPr>
            <w:rFonts w:ascii="Arial" w:hAnsi="Arial" w:cs="Arial"/>
            <w:noProof/>
            <w:webHidden/>
            <w:sz w:val="22"/>
            <w:szCs w:val="22"/>
          </w:rPr>
          <w:fldChar w:fldCharType="separate"/>
        </w:r>
        <w:r w:rsidRPr="002B05E9">
          <w:rPr>
            <w:rFonts w:ascii="Arial" w:hAnsi="Arial" w:cs="Arial"/>
            <w:noProof/>
            <w:webHidden/>
            <w:sz w:val="22"/>
            <w:szCs w:val="22"/>
          </w:rPr>
          <w:t>29</w:t>
        </w:r>
        <w:r w:rsidRPr="002B05E9">
          <w:rPr>
            <w:rFonts w:ascii="Arial" w:hAnsi="Arial" w:cs="Arial"/>
            <w:noProof/>
            <w:webHidden/>
            <w:sz w:val="22"/>
            <w:szCs w:val="22"/>
          </w:rPr>
          <w:fldChar w:fldCharType="end"/>
        </w:r>
      </w:hyperlink>
    </w:p>
    <w:p w14:paraId="56AAD0A9" w14:textId="20363E82" w:rsidR="002B05E9" w:rsidRPr="002B05E9" w:rsidRDefault="002B05E9">
      <w:pPr>
        <w:pStyle w:val="TOC2"/>
        <w:rPr>
          <w:rFonts w:ascii="Arial" w:eastAsiaTheme="minorEastAsia" w:hAnsi="Arial" w:cs="Arial"/>
          <w:smallCaps w:val="0"/>
          <w:noProof/>
          <w:kern w:val="2"/>
          <w:sz w:val="24"/>
          <w:szCs w:val="24"/>
          <w14:ligatures w14:val="standardContextual"/>
        </w:rPr>
      </w:pPr>
      <w:hyperlink w:anchor="_Toc171786721" w:history="1">
        <w:r w:rsidRPr="002B05E9">
          <w:rPr>
            <w:rStyle w:val="Hyperlink"/>
            <w:rFonts w:ascii="Arial" w:hAnsi="Arial" w:cs="Arial"/>
            <w:noProof/>
          </w:rPr>
          <w:t>5.8.2 Federal Laws &amp; Regulations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_Toc171786721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30</w:t>
        </w:r>
        <w:r w:rsidRPr="002B05E9">
          <w:rPr>
            <w:rFonts w:ascii="Arial" w:hAnsi="Arial" w:cs="Arial"/>
            <w:noProof/>
            <w:webHidden/>
          </w:rPr>
          <w:fldChar w:fldCharType="end"/>
        </w:r>
      </w:hyperlink>
    </w:p>
    <w:p w14:paraId="7213D91B" w14:textId="6B77559B" w:rsidR="002B05E9" w:rsidRPr="002B05E9" w:rsidRDefault="002B05E9">
      <w:pPr>
        <w:pStyle w:val="TOC1"/>
        <w:rPr>
          <w:rFonts w:ascii="Arial" w:eastAsiaTheme="minorEastAsia" w:hAnsi="Arial" w:cs="Arial"/>
          <w:b w:val="0"/>
          <w:bCs w:val="0"/>
          <w:caps w:val="0"/>
          <w:noProof/>
          <w:kern w:val="2"/>
          <w:sz w:val="24"/>
          <w:szCs w:val="24"/>
          <w14:ligatures w14:val="standardContextual"/>
        </w:rPr>
      </w:pPr>
      <w:hyperlink w:anchor="_Toc171786722" w:history="1">
        <w:r w:rsidRPr="002B05E9">
          <w:rPr>
            <w:rStyle w:val="Hyperlink"/>
            <w:rFonts w:ascii="Arial" w:hAnsi="Arial" w:cs="Arial"/>
            <w:noProof/>
          </w:rPr>
          <w:t>Resources</w:t>
        </w:r>
        <w:r w:rsidRPr="002B05E9">
          <w:rPr>
            <w:rFonts w:ascii="Arial" w:hAnsi="Arial" w:cs="Arial"/>
            <w:noProof/>
            <w:webHidden/>
          </w:rPr>
          <w:tab/>
        </w:r>
        <w:r w:rsidRPr="002B05E9">
          <w:rPr>
            <w:rFonts w:ascii="Arial" w:hAnsi="Arial" w:cs="Arial"/>
            <w:noProof/>
            <w:webHidden/>
          </w:rPr>
          <w:fldChar w:fldCharType="begin"/>
        </w:r>
        <w:r w:rsidRPr="002B05E9">
          <w:rPr>
            <w:rFonts w:ascii="Arial" w:hAnsi="Arial" w:cs="Arial"/>
            <w:noProof/>
            <w:webHidden/>
          </w:rPr>
          <w:instrText xml:space="preserve"> PAGEREF _Toc171786722 \h </w:instrText>
        </w:r>
        <w:r w:rsidRPr="002B05E9">
          <w:rPr>
            <w:rFonts w:ascii="Arial" w:hAnsi="Arial" w:cs="Arial"/>
            <w:noProof/>
            <w:webHidden/>
          </w:rPr>
        </w:r>
        <w:r w:rsidRPr="002B05E9">
          <w:rPr>
            <w:rFonts w:ascii="Arial" w:hAnsi="Arial" w:cs="Arial"/>
            <w:noProof/>
            <w:webHidden/>
          </w:rPr>
          <w:fldChar w:fldCharType="separate"/>
        </w:r>
        <w:r w:rsidRPr="002B05E9">
          <w:rPr>
            <w:rFonts w:ascii="Arial" w:hAnsi="Arial" w:cs="Arial"/>
            <w:noProof/>
            <w:webHidden/>
          </w:rPr>
          <w:t>30</w:t>
        </w:r>
        <w:r w:rsidRPr="002B05E9">
          <w:rPr>
            <w:rFonts w:ascii="Arial" w:hAnsi="Arial" w:cs="Arial"/>
            <w:noProof/>
            <w:webHidden/>
          </w:rPr>
          <w:fldChar w:fldCharType="end"/>
        </w:r>
      </w:hyperlink>
    </w:p>
    <w:p w14:paraId="1C203B28" w14:textId="77777777" w:rsidR="008F7212" w:rsidRDefault="008E769E" w:rsidP="008E769E">
      <w:pPr>
        <w:pStyle w:val="Header"/>
        <w:tabs>
          <w:tab w:val="clear" w:pos="4320"/>
          <w:tab w:val="clear" w:pos="8640"/>
        </w:tabs>
        <w:spacing w:before="120" w:after="120"/>
        <w:jc w:val="center"/>
        <w:rPr>
          <w:rFonts w:cs="Arial"/>
          <w:b/>
          <w:bCs/>
          <w:caps/>
          <w:color w:val="000000"/>
          <w:szCs w:val="22"/>
        </w:rPr>
      </w:pPr>
      <w:r w:rsidRPr="002B05E9">
        <w:rPr>
          <w:rFonts w:cs="Arial"/>
          <w:b/>
          <w:bCs/>
          <w:caps/>
          <w:szCs w:val="22"/>
        </w:rPr>
        <w:fldChar w:fldCharType="end"/>
      </w:r>
    </w:p>
    <w:p w14:paraId="4A136801" w14:textId="4BF1F3BB" w:rsidR="00FE6E46" w:rsidRPr="008E769E" w:rsidRDefault="000C6B4E" w:rsidP="008E769E">
      <w:pPr>
        <w:pStyle w:val="Header"/>
        <w:tabs>
          <w:tab w:val="clear" w:pos="4320"/>
          <w:tab w:val="clear" w:pos="8640"/>
        </w:tabs>
        <w:spacing w:before="120" w:after="120"/>
        <w:jc w:val="center"/>
        <w:rPr>
          <w:b/>
          <w:bCs/>
          <w:sz w:val="48"/>
          <w:szCs w:val="48"/>
        </w:rPr>
      </w:pPr>
      <w:r w:rsidRPr="008E769E">
        <w:rPr>
          <w:b/>
          <w:bCs/>
          <w:sz w:val="48"/>
          <w:szCs w:val="48"/>
        </w:rPr>
        <w:lastRenderedPageBreak/>
        <w:t>CHAPTER 5</w:t>
      </w:r>
    </w:p>
    <w:p w14:paraId="63E27CA0" w14:textId="33972FD9" w:rsidR="000C6B4E" w:rsidRPr="0090789D" w:rsidRDefault="000C6B4E" w:rsidP="009333F8">
      <w:pPr>
        <w:pStyle w:val="ACHAPTTITLE"/>
        <w:rPr>
          <w:sz w:val="48"/>
          <w:szCs w:val="48"/>
        </w:rPr>
      </w:pPr>
      <w:r w:rsidRPr="0090789D">
        <w:rPr>
          <w:sz w:val="48"/>
          <w:szCs w:val="48"/>
        </w:rPr>
        <w:t>PROCUREMENT PROCEDURES</w:t>
      </w:r>
    </w:p>
    <w:p w14:paraId="02D3EF1B" w14:textId="77777777" w:rsidR="000C6B4E" w:rsidRPr="00AA47F7" w:rsidRDefault="000C6B4E" w:rsidP="009333F8">
      <w:pPr>
        <w:jc w:val="center"/>
        <w:rPr>
          <w:rFonts w:cs="Arial"/>
          <w:b/>
        </w:rPr>
      </w:pPr>
    </w:p>
    <w:p w14:paraId="17887E48" w14:textId="1C280423" w:rsidR="000C6B4E" w:rsidRPr="00AA47F7" w:rsidRDefault="000C6B4E" w:rsidP="009333F8">
      <w:pPr>
        <w:pStyle w:val="ACDGBArial20Bold"/>
      </w:pPr>
      <w:bookmarkStart w:id="0" w:name="_Toc123110892"/>
      <w:bookmarkStart w:id="1" w:name="_Toc171786688"/>
      <w:r w:rsidRPr="00AA47F7">
        <w:t>5.</w:t>
      </w:r>
      <w:r w:rsidR="00DE6E8E">
        <w:t>0</w:t>
      </w:r>
      <w:r w:rsidRPr="00AA47F7">
        <w:t xml:space="preserve"> Introduction</w:t>
      </w:r>
      <w:bookmarkEnd w:id="0"/>
      <w:bookmarkEnd w:id="1"/>
    </w:p>
    <w:p w14:paraId="6A614EB9" w14:textId="77777777" w:rsidR="000C6B4E" w:rsidRPr="00AA47F7" w:rsidRDefault="000C6B4E" w:rsidP="009333F8">
      <w:pPr>
        <w:pStyle w:val="BodyText1"/>
        <w:tabs>
          <w:tab w:val="clear" w:pos="720"/>
        </w:tabs>
        <w:spacing w:after="0"/>
        <w:jc w:val="both"/>
        <w:rPr>
          <w:rFonts w:cs="Arial"/>
          <w:szCs w:val="22"/>
        </w:rPr>
      </w:pPr>
    </w:p>
    <w:p w14:paraId="3215F363" w14:textId="56AC12A5" w:rsidR="000C6B4E" w:rsidRPr="00AA47F7" w:rsidRDefault="000C6B4E" w:rsidP="009333F8">
      <w:pPr>
        <w:pStyle w:val="ACDBGBODYArial11"/>
        <w:spacing w:line="240" w:lineRule="auto"/>
      </w:pPr>
      <w:r w:rsidRPr="00AA47F7">
        <w:t xml:space="preserve">Procurement is the process through which an entity obtains goods and services from vendors. </w:t>
      </w:r>
      <w:r w:rsidRPr="00AA47F7">
        <w:rPr>
          <w:lang w:val="en-US"/>
        </w:rPr>
        <w:t xml:space="preserve">Both </w:t>
      </w:r>
      <w:proofErr w:type="spellStart"/>
      <w:r w:rsidRPr="00AA47F7">
        <w:rPr>
          <w:lang w:val="en-US"/>
        </w:rPr>
        <w:t>t</w:t>
      </w:r>
      <w:r w:rsidRPr="00AA47F7">
        <w:t>he</w:t>
      </w:r>
      <w:proofErr w:type="spellEnd"/>
      <w:r w:rsidRPr="00AA47F7">
        <w:t xml:space="preserve"> federal government </w:t>
      </w:r>
      <w:r w:rsidRPr="00AA47F7">
        <w:rPr>
          <w:lang w:val="en-US"/>
        </w:rPr>
        <w:t xml:space="preserve">and the state of Texas </w:t>
      </w:r>
      <w:r w:rsidRPr="00AA47F7">
        <w:t>ha</w:t>
      </w:r>
      <w:r w:rsidRPr="00AA47F7">
        <w:rPr>
          <w:lang w:val="en-US"/>
        </w:rPr>
        <w:t>ve</w:t>
      </w:r>
      <w:r w:rsidRPr="00AA47F7">
        <w:t xml:space="preserve"> established a set of procurement rules that apply to </w:t>
      </w:r>
      <w:r w:rsidRPr="00AA47F7">
        <w:rPr>
          <w:lang w:val="en-US"/>
        </w:rPr>
        <w:t>Tx</w:t>
      </w:r>
      <w:r w:rsidRPr="00AA47F7">
        <w:t>CDBG-funded projects</w:t>
      </w:r>
      <w:r>
        <w:rPr>
          <w:lang w:val="en-US"/>
        </w:rPr>
        <w:t>.</w:t>
      </w:r>
      <w:r w:rsidRPr="00AA47F7">
        <w:rPr>
          <w:lang w:val="en-US"/>
        </w:rPr>
        <w:t xml:space="preserve"> </w:t>
      </w:r>
      <w:r>
        <w:rPr>
          <w:lang w:val="en-US"/>
        </w:rPr>
        <w:t>T</w:t>
      </w:r>
      <w:r w:rsidRPr="00AA47F7">
        <w:rPr>
          <w:lang w:val="en-US"/>
        </w:rPr>
        <w:t xml:space="preserve">he </w:t>
      </w:r>
      <w:r w:rsidRPr="00AA47F7">
        <w:t xml:space="preserve">procurement procedures </w:t>
      </w:r>
      <w:r w:rsidRPr="00AA47F7">
        <w:rPr>
          <w:lang w:val="en-US"/>
        </w:rPr>
        <w:t xml:space="preserve">set forth in this chapter </w:t>
      </w:r>
      <w:r w:rsidRPr="00AA47F7">
        <w:t>comply with both sets of regulations. In addition to applicable federal and state regulations, many local governments have laws and regulations regarding procurement.</w:t>
      </w:r>
      <w:r w:rsidRPr="00AA47F7">
        <w:rPr>
          <w:lang w:val="en-US"/>
        </w:rPr>
        <w:t xml:space="preserve"> </w:t>
      </w:r>
      <w:r w:rsidRPr="00AA47F7">
        <w:t>Grant Recipient</w:t>
      </w:r>
      <w:r w:rsidRPr="00AA47F7">
        <w:rPr>
          <w:lang w:val="en-US"/>
        </w:rPr>
        <w:t>s</w:t>
      </w:r>
      <w:r w:rsidRPr="00AA47F7">
        <w:t xml:space="preserve"> must comply with all local laws governing procurement policies. In the event that federal, state, and local </w:t>
      </w:r>
      <w:r w:rsidRPr="00AA47F7">
        <w:rPr>
          <w:lang w:val="en-US"/>
        </w:rPr>
        <w:t xml:space="preserve">law conflict, </w:t>
      </w:r>
      <w:r w:rsidRPr="00AA47F7">
        <w:t>the</w:t>
      </w:r>
      <w:r w:rsidRPr="00AA47F7">
        <w:rPr>
          <w:color w:val="000000"/>
        </w:rPr>
        <w:t xml:space="preserve"> most</w:t>
      </w:r>
      <w:r w:rsidRPr="00AA47F7">
        <w:t xml:space="preserve"> stringent regulation applies.</w:t>
      </w:r>
      <w:r w:rsidR="00A52C35">
        <w:t xml:space="preserve"> </w:t>
      </w:r>
    </w:p>
    <w:p w14:paraId="0F26F130" w14:textId="77777777" w:rsidR="000C6B4E" w:rsidRPr="00A770BC" w:rsidRDefault="000C6B4E" w:rsidP="009333F8">
      <w:pPr>
        <w:pStyle w:val="ACDBGBODYArial11"/>
        <w:spacing w:line="240" w:lineRule="auto"/>
      </w:pPr>
    </w:p>
    <w:p w14:paraId="63FF7835" w14:textId="247C2A72" w:rsidR="000C6B4E" w:rsidRDefault="00DE6E8E" w:rsidP="009333F8">
      <w:pPr>
        <w:pStyle w:val="ACDGBArial20Bold"/>
      </w:pPr>
      <w:bookmarkStart w:id="2" w:name="_Toc123110893"/>
      <w:bookmarkStart w:id="3" w:name="_Toc171786591"/>
      <w:bookmarkStart w:id="4" w:name="_Toc171786689"/>
      <w:r>
        <w:t>5.1 Procurement Procedures</w:t>
      </w:r>
      <w:bookmarkEnd w:id="2"/>
      <w:bookmarkEnd w:id="3"/>
      <w:bookmarkEnd w:id="4"/>
    </w:p>
    <w:p w14:paraId="3F3FDC51" w14:textId="77777777" w:rsidR="00DE6E8E" w:rsidRPr="00A770BC" w:rsidRDefault="00DE6E8E" w:rsidP="009333F8">
      <w:pPr>
        <w:pStyle w:val="ACDBGBODYArial11"/>
        <w:spacing w:line="240" w:lineRule="auto"/>
      </w:pPr>
    </w:p>
    <w:p w14:paraId="5AB364D1" w14:textId="77777777" w:rsidR="000C6B4E" w:rsidRPr="00AA47F7" w:rsidRDefault="000C6B4E" w:rsidP="009333F8">
      <w:pPr>
        <w:pStyle w:val="Heading2"/>
      </w:pPr>
      <w:bookmarkStart w:id="5" w:name="_Toc123110894"/>
      <w:bookmarkStart w:id="6" w:name="_Toc171786592"/>
      <w:bookmarkStart w:id="7" w:name="_Toc171786690"/>
      <w:r w:rsidRPr="00AA47F7">
        <w:t>5.1.1 Features of Good Procurement Systems</w:t>
      </w:r>
      <w:bookmarkEnd w:id="5"/>
      <w:bookmarkEnd w:id="6"/>
      <w:bookmarkEnd w:id="7"/>
    </w:p>
    <w:p w14:paraId="2F2F7E6B" w14:textId="77777777" w:rsidR="000C6B4E" w:rsidRPr="00AA47F7" w:rsidRDefault="000C6B4E" w:rsidP="009333F8">
      <w:pPr>
        <w:pStyle w:val="ACDBGBODYArial11"/>
        <w:spacing w:line="240" w:lineRule="auto"/>
        <w:rPr>
          <w:sz w:val="20"/>
          <w:szCs w:val="20"/>
        </w:rPr>
      </w:pPr>
    </w:p>
    <w:p w14:paraId="4C119634" w14:textId="4A751F0C" w:rsidR="000C6B4E" w:rsidRPr="00DE6E8E" w:rsidRDefault="000C6B4E" w:rsidP="009333F8">
      <w:pPr>
        <w:pStyle w:val="ACDBGBODYArial11"/>
        <w:spacing w:line="240" w:lineRule="auto"/>
        <w:rPr>
          <w:lang w:val="en-US"/>
        </w:rPr>
      </w:pPr>
      <w:r w:rsidRPr="00AA47F7">
        <w:t>A good procurement system should facilitate the Grant Recipient’s ability to</w:t>
      </w:r>
      <w:r w:rsidR="00DE6E8E">
        <w:rPr>
          <w:lang w:val="en-US"/>
        </w:rPr>
        <w:t>:</w:t>
      </w:r>
    </w:p>
    <w:p w14:paraId="59BC1FBB" w14:textId="12C9CDBA" w:rsidR="000C6B4E" w:rsidRPr="00AA47F7" w:rsidRDefault="00DE6E8E" w:rsidP="009333F8">
      <w:pPr>
        <w:pStyle w:val="BULLETS"/>
        <w:spacing w:line="240" w:lineRule="auto"/>
      </w:pPr>
      <w:r>
        <w:t>I</w:t>
      </w:r>
      <w:r w:rsidR="000C6B4E" w:rsidRPr="00AA47F7">
        <w:t xml:space="preserve">dentify and specify standards for the goods or services the Grant Applicant desires. Invitations for bids or requests for proposals must be clearly written and must describe the technical requirements of the equipment or </w:t>
      </w:r>
      <w:proofErr w:type="gramStart"/>
      <w:r w:rsidR="000C6B4E" w:rsidRPr="00AA47F7">
        <w:t>services</w:t>
      </w:r>
      <w:r w:rsidR="00BF2A97">
        <w:t>;</w:t>
      </w:r>
      <w:proofErr w:type="gramEnd"/>
    </w:p>
    <w:p w14:paraId="211A36C8" w14:textId="62E6053A" w:rsidR="000C6B4E" w:rsidRPr="00AA47F7" w:rsidRDefault="00DE6E8E" w:rsidP="009333F8">
      <w:pPr>
        <w:pStyle w:val="BULLETS"/>
        <w:spacing w:line="240" w:lineRule="auto"/>
      </w:pPr>
      <w:r>
        <w:t>O</w:t>
      </w:r>
      <w:r w:rsidR="000C6B4E" w:rsidRPr="00AA47F7">
        <w:t xml:space="preserve">btain an independent cost estimate for the goods or </w:t>
      </w:r>
      <w:proofErr w:type="gramStart"/>
      <w:r w:rsidR="000C6B4E" w:rsidRPr="00AA47F7">
        <w:t>services</w:t>
      </w:r>
      <w:r w:rsidR="00BF2A97">
        <w:t>;</w:t>
      </w:r>
      <w:proofErr w:type="gramEnd"/>
    </w:p>
    <w:p w14:paraId="05B45513" w14:textId="375C4210" w:rsidR="000C6B4E" w:rsidRPr="00AA47F7" w:rsidRDefault="00DE6E8E" w:rsidP="009333F8">
      <w:pPr>
        <w:pStyle w:val="BULLETS"/>
        <w:spacing w:line="240" w:lineRule="auto"/>
      </w:pPr>
      <w:r>
        <w:t>S</w:t>
      </w:r>
      <w:r w:rsidR="000C6B4E" w:rsidRPr="00AA47F7">
        <w:t>eek competitive offers to obtain the best possible quality at the best possible price.</w:t>
      </w:r>
    </w:p>
    <w:p w14:paraId="72307924" w14:textId="4BB0544D" w:rsidR="000C6B4E" w:rsidRPr="00AA47F7" w:rsidRDefault="00DE6E8E" w:rsidP="009333F8">
      <w:pPr>
        <w:pStyle w:val="BULLETS"/>
        <w:spacing w:line="240" w:lineRule="auto"/>
      </w:pPr>
      <w:r>
        <w:t>P</w:t>
      </w:r>
      <w:r w:rsidR="000C6B4E">
        <w:t>r</w:t>
      </w:r>
      <w:r w:rsidR="000C6B4E" w:rsidRPr="00AA47F7">
        <w:t>omote the maximum use of small</w:t>
      </w:r>
      <w:r w:rsidR="007D40F4">
        <w:t xml:space="preserve"> (SBE)</w:t>
      </w:r>
      <w:r w:rsidR="000C6B4E" w:rsidRPr="00AA47F7">
        <w:t>, minority-owned</w:t>
      </w:r>
      <w:r w:rsidR="007D40F4">
        <w:t xml:space="preserve"> (MBE)</w:t>
      </w:r>
      <w:r w:rsidR="000C6B4E" w:rsidRPr="00AA47F7">
        <w:t>, women-owned businesses</w:t>
      </w:r>
      <w:r w:rsidR="007D40F4">
        <w:t xml:space="preserve"> (WBE)</w:t>
      </w:r>
      <w:r w:rsidR="000C6B4E" w:rsidRPr="00AA47F7">
        <w:t xml:space="preserve">, and Section 3 businesses using suggestions found in </w:t>
      </w:r>
      <w:r w:rsidR="000C6B4E" w:rsidRPr="00AA47F7">
        <w:rPr>
          <w:bCs/>
          <w:i/>
          <w:iCs/>
        </w:rPr>
        <w:t>Chapter 10</w:t>
      </w:r>
      <w:r>
        <w:rPr>
          <w:bCs/>
          <w:i/>
          <w:iCs/>
        </w:rPr>
        <w:t xml:space="preserve"> Civil </w:t>
      </w:r>
      <w:proofErr w:type="gramStart"/>
      <w:r>
        <w:rPr>
          <w:bCs/>
          <w:i/>
          <w:iCs/>
        </w:rPr>
        <w:t>Rights</w:t>
      </w:r>
      <w:r w:rsidR="00BF2A97">
        <w:t>;</w:t>
      </w:r>
      <w:proofErr w:type="gramEnd"/>
    </w:p>
    <w:p w14:paraId="48A43F9B" w14:textId="22164913" w:rsidR="000C6B4E" w:rsidRPr="00AA47F7" w:rsidRDefault="007F2231" w:rsidP="00BE4798">
      <w:pPr>
        <w:pStyle w:val="BULLETS"/>
        <w:spacing w:line="240" w:lineRule="auto"/>
      </w:pPr>
      <w:r>
        <w:t>H</w:t>
      </w:r>
      <w:r w:rsidR="000C6B4E" w:rsidRPr="00AA47F7">
        <w:t xml:space="preserve">ave adequate quality assurance and oversight systems in place to ensure that contractors perform in accordance with the terms, conditions, and specifications of their contracts or purchase </w:t>
      </w:r>
      <w:proofErr w:type="gramStart"/>
      <w:r w:rsidR="000C6B4E" w:rsidRPr="00AA47F7">
        <w:t>orders</w:t>
      </w:r>
      <w:r w:rsidR="00BF2A97">
        <w:t>;</w:t>
      </w:r>
      <w:proofErr w:type="gramEnd"/>
    </w:p>
    <w:p w14:paraId="6028FBF1" w14:textId="395069EB" w:rsidR="000C6B4E" w:rsidRPr="00AA47F7" w:rsidRDefault="00DE6E8E" w:rsidP="009333F8">
      <w:pPr>
        <w:pStyle w:val="BULLETS"/>
        <w:spacing w:line="240" w:lineRule="auto"/>
      </w:pPr>
      <w:r>
        <w:t>R</w:t>
      </w:r>
      <w:r w:rsidR="000C6B4E" w:rsidRPr="00AA47F7">
        <w:t>eview all procurements to avoid unnecessary and duplicative purchases and to ensure costs are reasonable</w:t>
      </w:r>
      <w:r w:rsidR="00BF2A97">
        <w:t>; and</w:t>
      </w:r>
    </w:p>
    <w:p w14:paraId="1F563634" w14:textId="03933932" w:rsidR="000C6B4E" w:rsidRPr="00AA47F7" w:rsidRDefault="00DE6E8E" w:rsidP="009333F8">
      <w:pPr>
        <w:pStyle w:val="BULLETS"/>
        <w:spacing w:line="240" w:lineRule="auto"/>
      </w:pPr>
      <w:r>
        <w:t>U</w:t>
      </w:r>
      <w:r w:rsidR="000C6B4E" w:rsidRPr="00AA47F7">
        <w:t>se a written agreement that clearly states the responsibilities of each party; the method of contracting, fixed price, cost plus fixed fee, purchase orders, etc. should be appropriate.</w:t>
      </w:r>
    </w:p>
    <w:p w14:paraId="496A20B6" w14:textId="77777777" w:rsidR="000C6B4E" w:rsidRPr="00AA47F7" w:rsidRDefault="000C6B4E" w:rsidP="009333F8">
      <w:pPr>
        <w:pStyle w:val="BULLETS"/>
        <w:numPr>
          <w:ilvl w:val="0"/>
          <w:numId w:val="0"/>
        </w:numPr>
        <w:spacing w:line="240" w:lineRule="auto"/>
        <w:rPr>
          <w:b/>
          <w:bCs/>
        </w:rPr>
      </w:pPr>
    </w:p>
    <w:p w14:paraId="0775CC53" w14:textId="77777777" w:rsidR="000C6B4E" w:rsidRPr="00AA47F7" w:rsidRDefault="000C6B4E" w:rsidP="009333F8">
      <w:pPr>
        <w:pStyle w:val="BULLETS"/>
        <w:numPr>
          <w:ilvl w:val="0"/>
          <w:numId w:val="0"/>
        </w:numPr>
        <w:spacing w:line="240" w:lineRule="auto"/>
      </w:pPr>
      <w:r w:rsidRPr="00AA47F7">
        <w:t xml:space="preserve">Procurement for eligible costs must </w:t>
      </w:r>
      <w:r w:rsidRPr="00915FF9">
        <w:rPr>
          <w:b/>
          <w:bCs/>
        </w:rPr>
        <w:t>not</w:t>
      </w:r>
      <w:r w:rsidRPr="00AA47F7">
        <w:t xml:space="preserve"> include the following:</w:t>
      </w:r>
    </w:p>
    <w:p w14:paraId="4D2C3656" w14:textId="5CFC23A0" w:rsidR="000C6B4E" w:rsidRPr="00AA47F7" w:rsidRDefault="000C6B4E" w:rsidP="009333F8">
      <w:pPr>
        <w:pStyle w:val="BULLETS"/>
        <w:spacing w:line="240" w:lineRule="auto"/>
      </w:pPr>
      <w:r w:rsidRPr="00AA47F7">
        <w:t xml:space="preserve">Cost-plus-a-percentage-of-cost or percentage of construction cost methods of contracting. Contracts using this method will be disallowed entirely, ineligible for any cost reimbursement or match </w:t>
      </w:r>
      <w:proofErr w:type="gramStart"/>
      <w:r w:rsidRPr="00AA47F7">
        <w:t>credit</w:t>
      </w:r>
      <w:r w:rsidR="00BF2A97">
        <w:t>;</w:t>
      </w:r>
      <w:proofErr w:type="gramEnd"/>
    </w:p>
    <w:p w14:paraId="342D6533" w14:textId="4FEFA75C" w:rsidR="000C6B4E" w:rsidRPr="00AA47F7" w:rsidRDefault="000C6B4E" w:rsidP="009333F8">
      <w:pPr>
        <w:pStyle w:val="BULLETS"/>
        <w:spacing w:line="240" w:lineRule="auto"/>
      </w:pPr>
      <w:r w:rsidRPr="00AA47F7">
        <w:t xml:space="preserve">Line items that do not describe actual work to be completed. Any line item for profit, overhead, contingency, or other related terms that do not describe actual work to be performed will not be </w:t>
      </w:r>
      <w:proofErr w:type="gramStart"/>
      <w:r w:rsidRPr="00AA47F7">
        <w:t>reimbursed</w:t>
      </w:r>
      <w:r w:rsidR="00BF2A97">
        <w:t>;</w:t>
      </w:r>
      <w:proofErr w:type="gramEnd"/>
    </w:p>
    <w:p w14:paraId="4C9014D7" w14:textId="7FFAC731" w:rsidR="000C6B4E" w:rsidRPr="00AA47F7" w:rsidRDefault="000C6B4E" w:rsidP="009333F8">
      <w:pPr>
        <w:pStyle w:val="BULLETS"/>
        <w:spacing w:line="240" w:lineRule="auto"/>
      </w:pPr>
      <w:r w:rsidRPr="00AA47F7">
        <w:t>Retainer</w:t>
      </w:r>
      <w:r w:rsidR="0083652C">
        <w:t xml:space="preserve"> contracts/agreements are considered </w:t>
      </w:r>
      <w:r w:rsidR="006364EB">
        <w:t>non-</w:t>
      </w:r>
      <w:r w:rsidR="0083652C">
        <w:t>competitive and</w:t>
      </w:r>
      <w:r w:rsidR="006364EB">
        <w:t xml:space="preserve"> are </w:t>
      </w:r>
      <w:r w:rsidRPr="00AA47F7">
        <w:t xml:space="preserve">not </w:t>
      </w:r>
      <w:r w:rsidR="006364EB">
        <w:t xml:space="preserve">an </w:t>
      </w:r>
      <w:r w:rsidRPr="00AA47F7">
        <w:t>allowable form</w:t>
      </w:r>
      <w:r w:rsidR="006364EB">
        <w:t>-</w:t>
      </w:r>
      <w:r w:rsidRPr="00AA47F7">
        <w:t xml:space="preserve"> of </w:t>
      </w:r>
      <w:proofErr w:type="gramStart"/>
      <w:r w:rsidRPr="00AA47F7">
        <w:t>procurement</w:t>
      </w:r>
      <w:r w:rsidR="00425E3C">
        <w:t>;</w:t>
      </w:r>
      <w:proofErr w:type="gramEnd"/>
    </w:p>
    <w:p w14:paraId="4E7C689A" w14:textId="67F7E959" w:rsidR="000C6B4E" w:rsidRPr="005C2432" w:rsidRDefault="000C6B4E" w:rsidP="009333F8">
      <w:pPr>
        <w:pStyle w:val="BULLETS"/>
        <w:spacing w:line="240" w:lineRule="auto"/>
      </w:pPr>
      <w:r w:rsidRPr="00AA47F7">
        <w:t>Conflicts of interest</w:t>
      </w:r>
      <w:r w:rsidR="0090692B">
        <w:t>.</w:t>
      </w:r>
      <w:r>
        <w:t xml:space="preserve"> </w:t>
      </w:r>
      <w:r w:rsidRPr="00AA47F7">
        <w:t>TDA cannot grant an exception to</w:t>
      </w:r>
      <w:r w:rsidR="0090692B">
        <w:t>,</w:t>
      </w:r>
      <w:r w:rsidRPr="00AA47F7">
        <w:t xml:space="preserve"> or waiver of conflict-of-interest regulations related to procurement, regardless of mitigating circumstance</w:t>
      </w:r>
      <w:r>
        <w:t>s</w:t>
      </w:r>
      <w:r w:rsidR="00DE6E8E">
        <w:t xml:space="preserve">, see </w:t>
      </w:r>
      <w:r w:rsidRPr="002461E5">
        <w:rPr>
          <w:i/>
          <w:iCs/>
        </w:rPr>
        <w:t>Chapter 1</w:t>
      </w:r>
      <w:r w:rsidR="00DE6E8E">
        <w:rPr>
          <w:i/>
          <w:iCs/>
        </w:rPr>
        <w:t xml:space="preserve"> Administration and </w:t>
      </w:r>
      <w:proofErr w:type="gramStart"/>
      <w:r w:rsidR="00DE6E8E">
        <w:rPr>
          <w:i/>
          <w:iCs/>
        </w:rPr>
        <w:t>Reporting</w:t>
      </w:r>
      <w:r w:rsidR="00BF2A97">
        <w:rPr>
          <w:i/>
          <w:iCs/>
        </w:rPr>
        <w:t>;</w:t>
      </w:r>
      <w:proofErr w:type="gramEnd"/>
      <w:r w:rsidR="009333F8">
        <w:rPr>
          <w:i/>
          <w:iCs/>
        </w:rPr>
        <w:t xml:space="preserve"> </w:t>
      </w:r>
      <w:r w:rsidR="00BF2A97" w:rsidRPr="0090789D">
        <w:t>or</w:t>
      </w:r>
    </w:p>
    <w:p w14:paraId="15C5B663" w14:textId="31A3A66C" w:rsidR="000C6B4E" w:rsidRPr="00AA47F7" w:rsidRDefault="000C6B4E" w:rsidP="009333F8">
      <w:pPr>
        <w:pStyle w:val="BULLETS"/>
        <w:spacing w:line="240" w:lineRule="auto"/>
      </w:pPr>
      <w:r>
        <w:t>Any situation considered to be restrictive of competition such as specifying a brand name product.</w:t>
      </w:r>
      <w:r w:rsidR="00DE6E8E">
        <w:rPr>
          <w:rStyle w:val="FootnoteReference"/>
        </w:rPr>
        <w:footnoteReference w:id="1"/>
      </w:r>
    </w:p>
    <w:p w14:paraId="5CF2B0A8" w14:textId="77777777" w:rsidR="000C6B4E" w:rsidRPr="00AA47F7" w:rsidRDefault="000C6B4E" w:rsidP="009333F8">
      <w:pPr>
        <w:autoSpaceDE w:val="0"/>
        <w:autoSpaceDN w:val="0"/>
        <w:adjustRightInd w:val="0"/>
        <w:ind w:left="720"/>
        <w:jc w:val="both"/>
        <w:rPr>
          <w:rFonts w:cs="Arial"/>
          <w:szCs w:val="22"/>
        </w:rPr>
      </w:pPr>
    </w:p>
    <w:p w14:paraId="656FFBD0" w14:textId="77777777" w:rsidR="000C6B4E" w:rsidRPr="00AA47F7" w:rsidRDefault="000C6B4E" w:rsidP="009333F8">
      <w:pPr>
        <w:pStyle w:val="ACDBGBODYArial11"/>
        <w:spacing w:line="240" w:lineRule="auto"/>
      </w:pPr>
      <w:r w:rsidRPr="00DF1BE7">
        <w:t xml:space="preserve">Grant </w:t>
      </w:r>
      <w:r w:rsidRPr="00DF1BE7">
        <w:rPr>
          <w:lang w:val="en-US"/>
        </w:rPr>
        <w:t>Recipients</w:t>
      </w:r>
      <w:r w:rsidRPr="00DF1BE7">
        <w:t xml:space="preserve"> must provide adequate documentation to </w:t>
      </w:r>
      <w:r w:rsidRPr="00DF1BE7">
        <w:rPr>
          <w:lang w:val="en-US"/>
        </w:rPr>
        <w:t>demonstrate</w:t>
      </w:r>
      <w:r w:rsidRPr="00DF1BE7">
        <w:t xml:space="preserve"> that the selection process was carried out in an open, fair, uniform, and thorough manner </w:t>
      </w:r>
      <w:r w:rsidRPr="00DF1BE7">
        <w:rPr>
          <w:lang w:val="en-US"/>
        </w:rPr>
        <w:t xml:space="preserve">and </w:t>
      </w:r>
      <w:r w:rsidRPr="00DF1BE7">
        <w:t>ensure that federal and state procurement requirements were met.</w:t>
      </w:r>
      <w:r>
        <w:rPr>
          <w:lang w:val="en-US"/>
        </w:rPr>
        <w:t xml:space="preserve"> </w:t>
      </w:r>
      <w:r w:rsidRPr="00AA47F7">
        <w:t xml:space="preserve">Failure to maintain proper documentation may result in disallowed costs. These records must include, but are not limited to, the following information: </w:t>
      </w:r>
    </w:p>
    <w:p w14:paraId="141C5227" w14:textId="77777777" w:rsidR="000C6B4E" w:rsidRPr="00AA47F7" w:rsidRDefault="000C6B4E" w:rsidP="009333F8">
      <w:pPr>
        <w:pStyle w:val="BULLETS"/>
        <w:spacing w:line="240" w:lineRule="auto"/>
      </w:pPr>
      <w:r w:rsidRPr="00AA47F7">
        <w:t xml:space="preserve">Rationale for the method of </w:t>
      </w:r>
      <w:proofErr w:type="gramStart"/>
      <w:r w:rsidRPr="00AA47F7">
        <w:t>procurement;</w:t>
      </w:r>
      <w:proofErr w:type="gramEnd"/>
    </w:p>
    <w:p w14:paraId="1D8851C0" w14:textId="77777777" w:rsidR="000C6B4E" w:rsidRPr="00AA47F7" w:rsidRDefault="000C6B4E" w:rsidP="009333F8">
      <w:pPr>
        <w:pStyle w:val="BULLETS"/>
        <w:spacing w:line="240" w:lineRule="auto"/>
      </w:pPr>
      <w:r w:rsidRPr="00AA47F7">
        <w:t>Solicitation/</w:t>
      </w:r>
      <w:proofErr w:type="gramStart"/>
      <w:r w:rsidRPr="00AA47F7">
        <w:t>response;</w:t>
      </w:r>
      <w:proofErr w:type="gramEnd"/>
    </w:p>
    <w:p w14:paraId="11B4F357" w14:textId="77777777" w:rsidR="000C6B4E" w:rsidRPr="00AA47F7" w:rsidRDefault="000C6B4E" w:rsidP="009333F8">
      <w:pPr>
        <w:pStyle w:val="BULLETS"/>
        <w:spacing w:line="240" w:lineRule="auto"/>
      </w:pPr>
      <w:r w:rsidRPr="00AA47F7">
        <w:t xml:space="preserve">Evaluation and selection </w:t>
      </w:r>
      <w:proofErr w:type="gramStart"/>
      <w:r w:rsidRPr="00AA47F7">
        <w:t>criteria;</w:t>
      </w:r>
      <w:proofErr w:type="gramEnd"/>
    </w:p>
    <w:p w14:paraId="65E81A1C" w14:textId="77777777" w:rsidR="000C6B4E" w:rsidRPr="00AA47F7" w:rsidRDefault="000C6B4E" w:rsidP="009333F8">
      <w:pPr>
        <w:pStyle w:val="BULLETS"/>
        <w:spacing w:line="240" w:lineRule="auto"/>
      </w:pPr>
      <w:r w:rsidRPr="00AA47F7">
        <w:t>Contractor selection or rejection; and</w:t>
      </w:r>
    </w:p>
    <w:p w14:paraId="143E8548" w14:textId="77777777" w:rsidR="000C6B4E" w:rsidRPr="00AA47F7" w:rsidRDefault="000C6B4E" w:rsidP="009333F8">
      <w:pPr>
        <w:pStyle w:val="BULLETS"/>
        <w:spacing w:line="240" w:lineRule="auto"/>
      </w:pPr>
      <w:r w:rsidRPr="00AA47F7">
        <w:t>The basis for the cost or price. The Grant Applicant should clearly identify during the procurement process any items included in the bid / purchase that are not</w:t>
      </w:r>
      <w:r>
        <w:t xml:space="preserve"> associated with funded project activities</w:t>
      </w:r>
      <w:r w:rsidRPr="00AA47F7">
        <w:t xml:space="preserve"> included in the TxCDBG contract.</w:t>
      </w:r>
    </w:p>
    <w:p w14:paraId="3D8BDE38" w14:textId="77777777" w:rsidR="000C6B4E" w:rsidRPr="00AA47F7" w:rsidRDefault="000C6B4E" w:rsidP="009333F8">
      <w:pPr>
        <w:pStyle w:val="ACDBGBODYArial11"/>
        <w:spacing w:line="240" w:lineRule="auto"/>
      </w:pPr>
    </w:p>
    <w:p w14:paraId="39D8D3A0" w14:textId="608C45CD" w:rsidR="000C6B4E" w:rsidRPr="00976E63" w:rsidRDefault="000C6B4E" w:rsidP="009333F8">
      <w:pPr>
        <w:pStyle w:val="ACDBGBODYArial11"/>
        <w:spacing w:line="240" w:lineRule="auto"/>
      </w:pPr>
      <w:r w:rsidRPr="00DF1BE7">
        <w:t xml:space="preserve">TDA recommends that the Grant </w:t>
      </w:r>
      <w:r w:rsidRPr="00DF1BE7">
        <w:rPr>
          <w:lang w:val="en-US"/>
        </w:rPr>
        <w:t>Recipient</w:t>
      </w:r>
      <w:r w:rsidRPr="00DF1BE7">
        <w:t>’s attorney review bid packets and contracts before execution in order to ensure that all federal and state</w:t>
      </w:r>
      <w:r w:rsidRPr="00DF1BE7">
        <w:rPr>
          <w:lang w:val="en-US"/>
        </w:rPr>
        <w:t xml:space="preserve"> </w:t>
      </w:r>
      <w:r w:rsidRPr="00DF1BE7">
        <w:t>TxCDBG requirements, local laws and requirements specific to that municipality or county are incorporated.</w:t>
      </w:r>
      <w:r w:rsidRPr="00AA47F7">
        <w:t xml:space="preserve"> </w:t>
      </w:r>
      <w:r>
        <w:rPr>
          <w:lang w:val="en-US"/>
        </w:rPr>
        <w:t>An Attorney</w:t>
      </w:r>
      <w:r w:rsidR="009768FD">
        <w:rPr>
          <w:lang w:val="en-US"/>
        </w:rPr>
        <w:t>’s</w:t>
      </w:r>
      <w:r>
        <w:rPr>
          <w:lang w:val="en-US"/>
        </w:rPr>
        <w:t xml:space="preserve"> Review Certification form</w:t>
      </w:r>
      <w:r w:rsidRPr="00AA47F7">
        <w:t xml:space="preserve"> for construction contracts is included</w:t>
      </w:r>
      <w:r>
        <w:rPr>
          <w:lang w:val="en-US"/>
        </w:rPr>
        <w:t xml:space="preserve"> with the sample bid packet documents</w:t>
      </w:r>
      <w:r w:rsidRPr="00AA47F7">
        <w:t xml:space="preserve"> in </w:t>
      </w:r>
      <w:r w:rsidRPr="00976E63">
        <w:t>Appendix F.</w:t>
      </w:r>
    </w:p>
    <w:p w14:paraId="4E3B6D54" w14:textId="77777777" w:rsidR="000C6B4E" w:rsidRPr="00AA47F7" w:rsidRDefault="000C6B4E" w:rsidP="009333F8">
      <w:pPr>
        <w:pStyle w:val="ACDBGBODYArial11"/>
        <w:spacing w:line="240" w:lineRule="auto"/>
      </w:pPr>
    </w:p>
    <w:p w14:paraId="58DDFEF0" w14:textId="77777777" w:rsidR="000C6B4E" w:rsidRPr="00AA47F7" w:rsidRDefault="000C6B4E" w:rsidP="009333F8">
      <w:pPr>
        <w:pStyle w:val="ACDBGBODYArial11"/>
        <w:spacing w:line="240" w:lineRule="auto"/>
        <w:rPr>
          <w:lang w:val="en-US"/>
        </w:rPr>
      </w:pPr>
      <w:r w:rsidRPr="00AA47F7">
        <w:rPr>
          <w:lang w:val="en-US"/>
        </w:rPr>
        <w:t>A Grant Recipient may delegate procurement responsibilities</w:t>
      </w:r>
      <w:r w:rsidRPr="00976E63">
        <w:rPr>
          <w:lang w:val="en-US"/>
        </w:rPr>
        <w:t xml:space="preserve"> </w:t>
      </w:r>
      <w:r w:rsidRPr="00AA47F7">
        <w:rPr>
          <w:lang w:val="en-US"/>
        </w:rPr>
        <w:t xml:space="preserve">be implemented </w:t>
      </w:r>
      <w:r>
        <w:rPr>
          <w:lang w:val="en-US"/>
        </w:rPr>
        <w:t>by a</w:t>
      </w:r>
      <w:r w:rsidRPr="00AA47F7">
        <w:rPr>
          <w:lang w:val="en-US"/>
        </w:rPr>
        <w:t xml:space="preserve"> subrecipient or partner organization; however, procurement actions related to the grant must comply with this chapter unless otherwise exempted, regardless of the party carrying out the purchase.</w:t>
      </w:r>
    </w:p>
    <w:p w14:paraId="578A2BB5" w14:textId="77777777" w:rsidR="000C6B4E" w:rsidRDefault="000C6B4E" w:rsidP="009333F8">
      <w:pPr>
        <w:pStyle w:val="ACDBGBODYArial11"/>
        <w:spacing w:line="240" w:lineRule="auto"/>
      </w:pPr>
    </w:p>
    <w:p w14:paraId="4AE89EB3" w14:textId="463D1787" w:rsidR="000C6B4E" w:rsidRDefault="000C6B4E" w:rsidP="009333F8">
      <w:pPr>
        <w:pStyle w:val="ACDBGBODYArial11"/>
        <w:spacing w:line="240" w:lineRule="auto"/>
        <w:rPr>
          <w:lang w:val="en-US"/>
        </w:rPr>
      </w:pPr>
      <w:r>
        <w:rPr>
          <w:lang w:val="en-US"/>
        </w:rPr>
        <w:t xml:space="preserve">The TDA-GO Materials and Services Report (MSR) is used to report procurement of any goods or services throughout the grant project. The Grant Recipient will update the MSR several times throughout the project.  The MSR is referenced at the appropriate steps in each of the sections below, and </w:t>
      </w:r>
      <w:r w:rsidR="00FE6E46">
        <w:rPr>
          <w:lang w:val="en-US"/>
        </w:rPr>
        <w:t>d</w:t>
      </w:r>
      <w:r w:rsidR="00FE6E46" w:rsidRPr="00FE6E46">
        <w:rPr>
          <w:lang w:val="en-US"/>
        </w:rPr>
        <w:t>etailed step-by-step instructions for completing and submitting an MSR in TDA-GO may be found on the TDA website.</w:t>
      </w:r>
    </w:p>
    <w:p w14:paraId="18AE26F2" w14:textId="77777777" w:rsidR="009333F8" w:rsidRPr="00AA47F7" w:rsidRDefault="009333F8" w:rsidP="009333F8"/>
    <w:p w14:paraId="591D1E41" w14:textId="005CA5BC" w:rsidR="000C6B4E" w:rsidRPr="00AA47F7" w:rsidRDefault="000C6B4E" w:rsidP="009333F8">
      <w:pPr>
        <w:pStyle w:val="Arial14Bold"/>
      </w:pPr>
      <w:bookmarkStart w:id="8" w:name="_Toc123110895"/>
      <w:bookmarkStart w:id="9" w:name="_Toc171786593"/>
      <w:bookmarkStart w:id="10" w:name="_Toc171786691"/>
      <w:r w:rsidRPr="009333F8">
        <w:rPr>
          <w:rStyle w:val="Heading2Char"/>
          <w:b/>
          <w:bCs/>
        </w:rPr>
        <w:t>5.1.2 Methods of Procurement</w:t>
      </w:r>
      <w:r w:rsidR="009768FD">
        <w:rPr>
          <w:rStyle w:val="FootnoteReference"/>
        </w:rPr>
        <w:footnoteReference w:id="2"/>
      </w:r>
      <w:bookmarkEnd w:id="8"/>
      <w:bookmarkEnd w:id="9"/>
      <w:bookmarkEnd w:id="10"/>
    </w:p>
    <w:p w14:paraId="4D1E8CAA" w14:textId="77777777" w:rsidR="000C6B4E" w:rsidRPr="00AA47F7" w:rsidRDefault="000C6B4E" w:rsidP="009333F8">
      <w:pPr>
        <w:pStyle w:val="BodyText1"/>
        <w:tabs>
          <w:tab w:val="clear" w:pos="720"/>
        </w:tabs>
        <w:spacing w:after="0"/>
        <w:jc w:val="both"/>
        <w:rPr>
          <w:rFonts w:cs="Arial"/>
          <w:sz w:val="20"/>
          <w:szCs w:val="22"/>
        </w:rPr>
      </w:pPr>
    </w:p>
    <w:p w14:paraId="28072290" w14:textId="77777777" w:rsidR="000C6B4E" w:rsidRPr="00AA47F7" w:rsidRDefault="000C6B4E" w:rsidP="009333F8">
      <w:pPr>
        <w:pStyle w:val="ACDBGBODYArial11"/>
        <w:spacing w:line="240" w:lineRule="auto"/>
      </w:pPr>
      <w:r w:rsidRPr="00AA47F7">
        <w:t xml:space="preserve">The Grant </w:t>
      </w:r>
      <w:r w:rsidRPr="00AA47F7">
        <w:rPr>
          <w:lang w:val="en-US"/>
        </w:rPr>
        <w:t>Recipient</w:t>
      </w:r>
      <w:r w:rsidRPr="00AA47F7">
        <w:t xml:space="preserve"> must use one of the following methods of procurement: </w:t>
      </w:r>
    </w:p>
    <w:p w14:paraId="34C5A8C2" w14:textId="77E53CD0" w:rsidR="000C6B4E" w:rsidRPr="00AA47F7" w:rsidRDefault="000C6B4E" w:rsidP="009333F8">
      <w:pPr>
        <w:pStyle w:val="BULLETS"/>
        <w:spacing w:line="240" w:lineRule="auto"/>
      </w:pPr>
      <w:r w:rsidRPr="00AA47F7">
        <w:rPr>
          <w:b/>
          <w:bCs/>
        </w:rPr>
        <w:t xml:space="preserve">Competitive Proposals for </w:t>
      </w:r>
      <w:r w:rsidR="00004A6A">
        <w:rPr>
          <w:b/>
          <w:bCs/>
        </w:rPr>
        <w:t>Administration</w:t>
      </w:r>
      <w:r w:rsidRPr="00AA47F7">
        <w:rPr>
          <w:b/>
          <w:bCs/>
        </w:rPr>
        <w:t>/Professional Services</w:t>
      </w:r>
      <w:r>
        <w:t xml:space="preserve"> – </w:t>
      </w:r>
      <w:r w:rsidRPr="00AA47F7">
        <w:t>For purchases where conditions for sealed bids are not appropriate, this is the preferred method for the procurement of non-construction services</w:t>
      </w:r>
      <w:proofErr w:type="gramStart"/>
      <w:r w:rsidRPr="00AA47F7">
        <w:t>. .</w:t>
      </w:r>
      <w:proofErr w:type="gramEnd"/>
    </w:p>
    <w:p w14:paraId="11B67EAF" w14:textId="77777777" w:rsidR="00D525F6" w:rsidRPr="00DF1BE7" w:rsidRDefault="00D525F6" w:rsidP="00D525F6">
      <w:pPr>
        <w:pStyle w:val="BULLETS"/>
        <w:spacing w:line="240" w:lineRule="auto"/>
      </w:pPr>
      <w:r w:rsidRPr="00DF1BE7">
        <w:rPr>
          <w:b/>
          <w:bCs/>
        </w:rPr>
        <w:t>Sealed Bids (Formal Advertising)</w:t>
      </w:r>
      <w:r w:rsidRPr="00DF1BE7">
        <w:t xml:space="preserve"> – For purchases greater than $50,000 the preferred method for a construction contract is a publicly solicited bid with a firm, fixed price—either lump sum or unit price—and awarded to the responsible bidder whose bid, conforming to all the material terms and conditions of the invitation for bids, is the lowest in price. State law allows governmental entities to procure some goods and services through an interlocal agreement with an authorized purchasing cooperative. The cooperative must comply with state and federal competitive bidding requirements.</w:t>
      </w:r>
    </w:p>
    <w:p w14:paraId="56960E93" w14:textId="77777777" w:rsidR="00D525F6" w:rsidRPr="00AA47F7" w:rsidRDefault="00D525F6" w:rsidP="00D525F6">
      <w:pPr>
        <w:pStyle w:val="BULLETS"/>
        <w:spacing w:line="240" w:lineRule="auto"/>
      </w:pPr>
      <w:r w:rsidRPr="00AA47F7">
        <w:rPr>
          <w:b/>
          <w:bCs/>
        </w:rPr>
        <w:t>Small Purchase</w:t>
      </w:r>
      <w:r>
        <w:t xml:space="preserve"> – </w:t>
      </w:r>
      <w:r w:rsidRPr="00AA47F7">
        <w:t>The acquisition of supplies or services greater than $2,000 and less than or equal to $50,000. Small purchase procedures are relatively simple and informal procurement methods for securing services, supplies, or other property. Price or rate quotations must be requested from at least three qualified sources.</w:t>
      </w:r>
    </w:p>
    <w:p w14:paraId="1DE7E808" w14:textId="1CDD51CC" w:rsidR="000C6B4E" w:rsidRPr="00AA47F7" w:rsidRDefault="000C6B4E" w:rsidP="009333F8">
      <w:pPr>
        <w:pStyle w:val="BULLETS"/>
        <w:spacing w:line="240" w:lineRule="auto"/>
        <w:rPr>
          <w:spacing w:val="-4"/>
        </w:rPr>
      </w:pPr>
      <w:r w:rsidRPr="00AA47F7">
        <w:rPr>
          <w:b/>
          <w:bCs/>
          <w:spacing w:val="-4"/>
        </w:rPr>
        <w:t>Micro-purchases</w:t>
      </w:r>
      <w:r>
        <w:rPr>
          <w:spacing w:val="-4"/>
        </w:rPr>
        <w:t xml:space="preserve"> – </w:t>
      </w:r>
      <w:r w:rsidRPr="00AA47F7">
        <w:rPr>
          <w:spacing w:val="-4"/>
        </w:rPr>
        <w:t>For the purchase of supplies or services that are in the aggregate less than or equal to $2,000, Grant Recipients may use simplified acquisition procedures instead of small purchase procedures as described</w:t>
      </w:r>
      <w:r w:rsidR="00146840">
        <w:rPr>
          <w:spacing w:val="-4"/>
        </w:rPr>
        <w:t xml:space="preserve"> above</w:t>
      </w:r>
      <w:r w:rsidRPr="00AA47F7">
        <w:rPr>
          <w:spacing w:val="-4"/>
        </w:rPr>
        <w:t xml:space="preserve">. Grant Recipients must, to the extent practicable, distribute these purchases equitably among qualified suppliers.  </w:t>
      </w:r>
    </w:p>
    <w:p w14:paraId="3073E7EE" w14:textId="2367690F" w:rsidR="000C6B4E" w:rsidRDefault="000C6B4E" w:rsidP="009333F8">
      <w:pPr>
        <w:pStyle w:val="BULLETS"/>
        <w:spacing w:line="240" w:lineRule="auto"/>
      </w:pPr>
      <w:r w:rsidRPr="00AA47F7">
        <w:rPr>
          <w:b/>
          <w:bCs/>
        </w:rPr>
        <w:t>Noncompetitive Proposals</w:t>
      </w:r>
      <w:r>
        <w:t xml:space="preserve"> – </w:t>
      </w:r>
      <w:r w:rsidRPr="00AA47F7">
        <w:t xml:space="preserve">Procurement through solicitation of a proposal from only one source and may be used only under special circumstances which are applicable for all purchase levels. </w:t>
      </w:r>
      <w:r>
        <w:t>All special circumstances must be approved</w:t>
      </w:r>
      <w:r w:rsidR="004809D5">
        <w:t xml:space="preserve"> in writing by TDA prior </w:t>
      </w:r>
      <w:r w:rsidR="00F32CAD">
        <w:t xml:space="preserve">to the </w:t>
      </w:r>
      <w:r w:rsidR="004809D5">
        <w:t xml:space="preserve">use of Noncompetitive Proposals. </w:t>
      </w:r>
    </w:p>
    <w:p w14:paraId="6995634F" w14:textId="77777777" w:rsidR="000C6B4E" w:rsidRPr="00566F99" w:rsidRDefault="000C6B4E" w:rsidP="009333F8">
      <w:pPr>
        <w:pStyle w:val="BULLETS"/>
        <w:numPr>
          <w:ilvl w:val="0"/>
          <w:numId w:val="0"/>
        </w:numPr>
        <w:spacing w:line="240" w:lineRule="auto"/>
        <w:ind w:left="720"/>
      </w:pPr>
    </w:p>
    <w:p w14:paraId="6DD16FA9" w14:textId="77777777" w:rsidR="000C6B4E" w:rsidRDefault="000C6B4E" w:rsidP="009333F8">
      <w:pPr>
        <w:pStyle w:val="ACDBGBODYArial11"/>
        <w:spacing w:line="240" w:lineRule="auto"/>
      </w:pPr>
      <w:r w:rsidRPr="00AA47F7">
        <w:t xml:space="preserve">The Grant Applicant must obtain </w:t>
      </w:r>
      <w:r w:rsidRPr="005C2432">
        <w:rPr>
          <w:b/>
          <w:bCs/>
        </w:rPr>
        <w:t>written</w:t>
      </w:r>
      <w:r w:rsidRPr="00AA47F7">
        <w:t xml:space="preserve"> approval from TDA prior to using any method of procurement not described in this chapter</w:t>
      </w:r>
      <w:r>
        <w:t xml:space="preserve"> (e.g., use of the competitive sealed proposal method for procurement of construction services or equipment)</w:t>
      </w:r>
      <w:r w:rsidRPr="00AA47F7">
        <w:t xml:space="preserve">. </w:t>
      </w:r>
    </w:p>
    <w:p w14:paraId="16B58C86" w14:textId="77777777" w:rsidR="000C6B4E" w:rsidRPr="00AA47F7" w:rsidRDefault="000C6B4E" w:rsidP="009333F8"/>
    <w:p w14:paraId="4DDCBA55" w14:textId="77777777" w:rsidR="000C6B4E" w:rsidRPr="00AA47F7" w:rsidRDefault="000C6B4E" w:rsidP="009333F8">
      <w:pPr>
        <w:jc w:val="both"/>
        <w:rPr>
          <w:rFonts w:cs="Arial"/>
          <w:szCs w:val="22"/>
        </w:rPr>
      </w:pPr>
    </w:p>
    <w:p w14:paraId="27E53DED" w14:textId="77777777" w:rsidR="000C6B4E" w:rsidRPr="00566F99" w:rsidRDefault="000C6B4E" w:rsidP="009333F8">
      <w:pPr>
        <w:pStyle w:val="ACDGBArial20Bold"/>
        <w:ind w:left="-270" w:right="-252"/>
        <w:rPr>
          <w:spacing w:val="-10"/>
        </w:rPr>
      </w:pPr>
      <w:bookmarkStart w:id="11" w:name="_Toc123110896"/>
      <w:bookmarkStart w:id="12" w:name="_Toc171786594"/>
      <w:bookmarkStart w:id="13" w:name="_Toc171786692"/>
      <w:r w:rsidRPr="00566F99">
        <w:rPr>
          <w:spacing w:val="-10"/>
        </w:rPr>
        <w:t>5.2 Selecting a Provider – Non-Construction Services</w:t>
      </w:r>
      <w:bookmarkEnd w:id="11"/>
      <w:bookmarkEnd w:id="12"/>
      <w:bookmarkEnd w:id="13"/>
    </w:p>
    <w:p w14:paraId="208567EB" w14:textId="77777777" w:rsidR="000C6B4E" w:rsidRDefault="000C6B4E" w:rsidP="009333F8"/>
    <w:p w14:paraId="6C9AAA57" w14:textId="33465F4B" w:rsidR="000C6B4E" w:rsidRDefault="000C6B4E" w:rsidP="009333F8">
      <w:pPr>
        <w:pStyle w:val="Heading2"/>
      </w:pPr>
      <w:bookmarkStart w:id="14" w:name="_Toc123110897"/>
      <w:bookmarkStart w:id="15" w:name="_Toc171786595"/>
      <w:bookmarkStart w:id="16" w:name="_Toc171786693"/>
      <w:r w:rsidRPr="00FA47E2">
        <w:t>5.2.1 Applicability of Competitive Proposals</w:t>
      </w:r>
      <w:r w:rsidR="00BF2A97">
        <w:t xml:space="preserve"> </w:t>
      </w:r>
      <w:r w:rsidRPr="00FA47E2">
        <w:t>(</w:t>
      </w:r>
      <w:r w:rsidR="00004A6A">
        <w:t>Administration</w:t>
      </w:r>
      <w:r w:rsidRPr="00FA47E2">
        <w:t xml:space="preserve"> and Professional Services Contracts)</w:t>
      </w:r>
      <w:bookmarkEnd w:id="14"/>
      <w:bookmarkEnd w:id="15"/>
      <w:bookmarkEnd w:id="16"/>
    </w:p>
    <w:p w14:paraId="0485BE06" w14:textId="77777777" w:rsidR="000C6B4E" w:rsidRPr="00C27987" w:rsidRDefault="000C6B4E" w:rsidP="009333F8"/>
    <w:p w14:paraId="19D7ADBF" w14:textId="05C1E72F" w:rsidR="000C6B4E" w:rsidRPr="009768FD" w:rsidRDefault="000C6B4E" w:rsidP="009333F8">
      <w:pPr>
        <w:pStyle w:val="ACDBGBODYArial11"/>
        <w:spacing w:line="240" w:lineRule="auto"/>
        <w:rPr>
          <w:strike/>
          <w:u w:val="single"/>
        </w:rPr>
      </w:pPr>
      <w:r w:rsidRPr="009768FD">
        <w:t xml:space="preserve">The Competitive Proposal procurement method applies to all </w:t>
      </w:r>
      <w:r w:rsidR="00004A6A">
        <w:t>administration</w:t>
      </w:r>
      <w:r w:rsidR="00004A6A">
        <w:rPr>
          <w:lang w:val="en-US"/>
        </w:rPr>
        <w:t xml:space="preserve"> services</w:t>
      </w:r>
      <w:r w:rsidRPr="009768FD">
        <w:t xml:space="preserve"> and professional services contracts paid in whole or in part with TxCDBG funds. </w:t>
      </w:r>
    </w:p>
    <w:p w14:paraId="02312965" w14:textId="77777777" w:rsidR="000C6B4E" w:rsidRPr="009768FD" w:rsidRDefault="000C6B4E" w:rsidP="009333F8">
      <w:pPr>
        <w:pStyle w:val="ACDBGBODYArial11"/>
        <w:spacing w:line="240" w:lineRule="auto"/>
      </w:pPr>
    </w:p>
    <w:p w14:paraId="330DB33A" w14:textId="72834349" w:rsidR="000C6B4E" w:rsidRPr="009768FD" w:rsidRDefault="000C6B4E" w:rsidP="009333F8">
      <w:pPr>
        <w:pStyle w:val="ACDBGBODYArial11"/>
        <w:spacing w:line="240" w:lineRule="auto"/>
        <w:rPr>
          <w:rStyle w:val="bodychar"/>
          <w:sz w:val="22"/>
        </w:rPr>
      </w:pPr>
      <w:r w:rsidRPr="009768FD">
        <w:t>Competitive</w:t>
      </w:r>
      <w:r w:rsidRPr="009768FD">
        <w:rPr>
          <w:lang w:val="en-US"/>
        </w:rPr>
        <w:t xml:space="preserve"> </w:t>
      </w:r>
      <w:r w:rsidR="00004A6A">
        <w:rPr>
          <w:lang w:val="en-US"/>
        </w:rPr>
        <w:t>Proposal</w:t>
      </w:r>
      <w:r w:rsidR="00004A6A" w:rsidRPr="009768FD">
        <w:t xml:space="preserve"> </w:t>
      </w:r>
      <w:r w:rsidRPr="009768FD">
        <w:t>procurement is used when conditions are not appropriate for the use of sealed bids and is the preferred method of selection of professional services</w:t>
      </w:r>
      <w:r w:rsidR="009768FD">
        <w:rPr>
          <w:lang w:val="en-US"/>
        </w:rPr>
        <w:t xml:space="preserve"> </w:t>
      </w:r>
      <w:r w:rsidRPr="009768FD">
        <w:t xml:space="preserve">such as grant </w:t>
      </w:r>
      <w:r w:rsidR="00004A6A">
        <w:t>administration</w:t>
      </w:r>
      <w:r w:rsidRPr="009768FD">
        <w:t xml:space="preserve">, engineering, architectural, or surveying services. </w:t>
      </w:r>
      <w:r w:rsidRPr="009768FD">
        <w:rPr>
          <w:rStyle w:val="bodychar"/>
          <w:sz w:val="22"/>
        </w:rPr>
        <w:t>Unlike sealed bidding, the competitive proposal method permits consideration of technical factors other than price and negotiation of contract price or estimated cost, and other contract terms and conditions.</w:t>
      </w:r>
      <w:r w:rsidRPr="009768FD">
        <w:rPr>
          <w:rStyle w:val="bodychar"/>
          <w:sz w:val="22"/>
          <w:lang w:val="en-US"/>
        </w:rPr>
        <w:t xml:space="preserve"> </w:t>
      </w:r>
      <w:r w:rsidRPr="009768FD">
        <w:rPr>
          <w:rStyle w:val="bodychar"/>
          <w:sz w:val="22"/>
        </w:rPr>
        <w:t xml:space="preserve">All contracts must be awarded to the responsible firm whose proposal is most advantageous to the program, with price </w:t>
      </w:r>
      <w:r w:rsidRPr="009768FD">
        <w:rPr>
          <w:rStyle w:val="bodychar"/>
          <w:i/>
          <w:iCs/>
          <w:sz w:val="22"/>
        </w:rPr>
        <w:t>and</w:t>
      </w:r>
      <w:r w:rsidRPr="009768FD">
        <w:rPr>
          <w:rStyle w:val="bodychar"/>
          <w:sz w:val="22"/>
        </w:rPr>
        <w:t xml:space="preserve"> other factors considered.  </w:t>
      </w:r>
    </w:p>
    <w:p w14:paraId="2FA18001" w14:textId="77777777" w:rsidR="000C6B4E" w:rsidRDefault="000C6B4E" w:rsidP="009333F8">
      <w:pPr>
        <w:pStyle w:val="ACDBGBODYArial11"/>
        <w:spacing w:line="240" w:lineRule="auto"/>
      </w:pPr>
    </w:p>
    <w:p w14:paraId="61B87F3A" w14:textId="593BA837" w:rsidR="000C6B4E" w:rsidRPr="00A14D93" w:rsidRDefault="008B0199" w:rsidP="009333F8">
      <w:pPr>
        <w:pStyle w:val="ACDBGBODYArial11"/>
        <w:spacing w:line="240" w:lineRule="auto"/>
        <w:rPr>
          <w:b/>
          <w:bCs/>
        </w:rPr>
      </w:pPr>
      <w:r>
        <w:rPr>
          <w:b/>
          <w:bCs/>
          <w:lang w:val="en-US"/>
        </w:rPr>
        <w:t>Important Competitive Procurement Requirements</w:t>
      </w:r>
    </w:p>
    <w:p w14:paraId="7DF5BE3E" w14:textId="32F1F334" w:rsidR="000C6B4E" w:rsidRPr="00431D9B" w:rsidRDefault="000C6B4E" w:rsidP="009333F8">
      <w:pPr>
        <w:pStyle w:val="BULLETS"/>
        <w:spacing w:line="240" w:lineRule="auto"/>
      </w:pPr>
      <w:r w:rsidRPr="00431D9B">
        <w:t xml:space="preserve">All </w:t>
      </w:r>
      <w:r w:rsidR="00004A6A">
        <w:t>administration</w:t>
      </w:r>
      <w:r w:rsidRPr="00431D9B">
        <w:t xml:space="preserve"> and professional services related to TxCDBG projects must be procured competitively, regardless of the source of funds that will </w:t>
      </w:r>
      <w:proofErr w:type="gramStart"/>
      <w:r w:rsidRPr="00431D9B">
        <w:t>pay</w:t>
      </w:r>
      <w:proofErr w:type="gramEnd"/>
      <w:r w:rsidRPr="00431D9B">
        <w:t xml:space="preserve"> for the service contracts. </w:t>
      </w:r>
    </w:p>
    <w:p w14:paraId="5790391F" w14:textId="77AACC26" w:rsidR="000C6B4E" w:rsidRPr="0028082C" w:rsidRDefault="00004A6A" w:rsidP="005F4682">
      <w:pPr>
        <w:pStyle w:val="BULLETS"/>
        <w:numPr>
          <w:ilvl w:val="1"/>
          <w:numId w:val="4"/>
        </w:numPr>
        <w:tabs>
          <w:tab w:val="clear" w:pos="1800"/>
        </w:tabs>
        <w:spacing w:line="240" w:lineRule="auto"/>
        <w:ind w:left="1080"/>
      </w:pPr>
      <w:r>
        <w:t>Administration</w:t>
      </w:r>
      <w:r w:rsidR="000C6B4E">
        <w:t xml:space="preserve"> and p</w:t>
      </w:r>
      <w:r w:rsidR="000C6B4E" w:rsidRPr="0028082C">
        <w:t>rofessional</w:t>
      </w:r>
      <w:r w:rsidR="000C6B4E">
        <w:t xml:space="preserve"> </w:t>
      </w:r>
      <w:r w:rsidR="000C6B4E" w:rsidRPr="0028082C">
        <w:t xml:space="preserve">services paid in whole or in part with TxCDBG funds must use the step-by-step procurement procedures described below. </w:t>
      </w:r>
    </w:p>
    <w:p w14:paraId="52EC49FB" w14:textId="219820D8" w:rsidR="000C6B4E" w:rsidRPr="0028082C" w:rsidRDefault="00004A6A" w:rsidP="005F4682">
      <w:pPr>
        <w:pStyle w:val="BULLETS"/>
        <w:numPr>
          <w:ilvl w:val="1"/>
          <w:numId w:val="4"/>
        </w:numPr>
        <w:tabs>
          <w:tab w:val="clear" w:pos="1800"/>
        </w:tabs>
        <w:spacing w:line="240" w:lineRule="auto"/>
        <w:ind w:left="1080"/>
      </w:pPr>
      <w:r>
        <w:t>Administration</w:t>
      </w:r>
      <w:r w:rsidR="000C6B4E">
        <w:t xml:space="preserve"> </w:t>
      </w:r>
      <w:r w:rsidR="000C6B4E" w:rsidRPr="0028082C">
        <w:t xml:space="preserve">services </w:t>
      </w:r>
      <w:r w:rsidR="000C6B4E">
        <w:t>and p</w:t>
      </w:r>
      <w:r w:rsidR="000C6B4E" w:rsidRPr="0028082C">
        <w:t>rofessional services paid solely with local or matching funds must use the TxCDBG process or a competitive procurement process found in local policies.</w:t>
      </w:r>
    </w:p>
    <w:p w14:paraId="4DDEF55A" w14:textId="5BD6CB17" w:rsidR="000C6B4E" w:rsidRPr="0028082C" w:rsidRDefault="000C6B4E" w:rsidP="009333F8">
      <w:pPr>
        <w:pStyle w:val="BULLETS"/>
        <w:spacing w:line="240" w:lineRule="auto"/>
      </w:pPr>
      <w:r w:rsidRPr="0028082C">
        <w:t xml:space="preserve">If procurement procedures are not performed correctly, fees for </w:t>
      </w:r>
      <w:r w:rsidR="00004A6A">
        <w:t>administration</w:t>
      </w:r>
      <w:r w:rsidRPr="0028082C">
        <w:t xml:space="preserve"> </w:t>
      </w:r>
      <w:r>
        <w:t xml:space="preserve">and/or </w:t>
      </w:r>
      <w:r w:rsidRPr="0028082C">
        <w:t>professional services</w:t>
      </w:r>
      <w:r>
        <w:t xml:space="preserve"> </w:t>
      </w:r>
      <w:r w:rsidRPr="0028082C">
        <w:t>will not be eligible for reimbursement with grant funds or count towards community match funds.</w:t>
      </w:r>
    </w:p>
    <w:p w14:paraId="7D776F5C" w14:textId="70D31D56" w:rsidR="000C6B4E" w:rsidRPr="0028082C" w:rsidRDefault="000C6B4E" w:rsidP="009333F8">
      <w:pPr>
        <w:pStyle w:val="BULLETS"/>
        <w:spacing w:line="240" w:lineRule="auto"/>
      </w:pPr>
      <w:r w:rsidRPr="0028082C">
        <w:t>If pre-qualified lists of persons, firms</w:t>
      </w:r>
      <w:r w:rsidR="00B33BC4">
        <w:t>,</w:t>
      </w:r>
      <w:r w:rsidR="00374999">
        <w:t xml:space="preserve"> </w:t>
      </w:r>
      <w:r w:rsidRPr="0028082C">
        <w:t xml:space="preserve">or products are used for acquiring goods and services, the Grant </w:t>
      </w:r>
      <w:r>
        <w:t>Recipient</w:t>
      </w:r>
      <w:r w:rsidRPr="0028082C">
        <w:t xml:space="preserve"> </w:t>
      </w:r>
      <w:r>
        <w:t>must</w:t>
      </w:r>
      <w:r w:rsidRPr="0028082C">
        <w:t xml:space="preserve"> keep the list current and include enough qualified sources as to ensure open competition.</w:t>
      </w:r>
      <w:r w:rsidR="009768FD">
        <w:rPr>
          <w:rStyle w:val="FootnoteReference"/>
        </w:rPr>
        <w:footnoteReference w:id="3"/>
      </w:r>
    </w:p>
    <w:p w14:paraId="69F80B50" w14:textId="2B9D1C58" w:rsidR="000C6B4E" w:rsidRPr="008E77FA" w:rsidRDefault="000C6B4E" w:rsidP="009333F8">
      <w:pPr>
        <w:pStyle w:val="BULLETS"/>
        <w:spacing w:line="240" w:lineRule="auto"/>
        <w:rPr>
          <w:spacing w:val="1"/>
        </w:rPr>
      </w:pPr>
      <w:r w:rsidRPr="008E77FA">
        <w:rPr>
          <w:spacing w:val="1"/>
        </w:rPr>
        <w:t xml:space="preserve">TxCDBG funds and matching funds may not be used to reimburse </w:t>
      </w:r>
      <w:r w:rsidR="00632CB3">
        <w:rPr>
          <w:spacing w:val="1"/>
        </w:rPr>
        <w:t xml:space="preserve">for </w:t>
      </w:r>
      <w:r w:rsidRPr="008E77FA">
        <w:rPr>
          <w:spacing w:val="1"/>
        </w:rPr>
        <w:t xml:space="preserve">services provided prior to the date of the TxCDBG </w:t>
      </w:r>
      <w:r w:rsidR="00446814">
        <w:rPr>
          <w:spacing w:val="1"/>
        </w:rPr>
        <w:t>Grant Agreement</w:t>
      </w:r>
      <w:r w:rsidRPr="008E77FA">
        <w:rPr>
          <w:spacing w:val="1"/>
        </w:rPr>
        <w:t xml:space="preserve"> except for eligible pre-award costs and/or activities approved by TDA through the pre-agreement process</w:t>
      </w:r>
      <w:r w:rsidR="00446814">
        <w:rPr>
          <w:spacing w:val="1"/>
        </w:rPr>
        <w:t>, s</w:t>
      </w:r>
      <w:r w:rsidRPr="008E77FA">
        <w:rPr>
          <w:spacing w:val="1"/>
        </w:rPr>
        <w:t xml:space="preserve">ee </w:t>
      </w:r>
      <w:r w:rsidRPr="00653A64">
        <w:rPr>
          <w:i/>
          <w:iCs/>
          <w:spacing w:val="1"/>
        </w:rPr>
        <w:t>Chapter 1</w:t>
      </w:r>
      <w:r w:rsidR="009768FD">
        <w:rPr>
          <w:i/>
          <w:iCs/>
          <w:spacing w:val="1"/>
        </w:rPr>
        <w:t xml:space="preserve"> Administration and Reporting</w:t>
      </w:r>
      <w:r>
        <w:rPr>
          <w:i/>
          <w:iCs/>
          <w:spacing w:val="1"/>
        </w:rPr>
        <w:t xml:space="preserve"> </w:t>
      </w:r>
      <w:r w:rsidRPr="003037A6">
        <w:rPr>
          <w:spacing w:val="1"/>
        </w:rPr>
        <w:t>regarding</w:t>
      </w:r>
      <w:r w:rsidRPr="008E77FA">
        <w:rPr>
          <w:spacing w:val="1"/>
        </w:rPr>
        <w:t xml:space="preserve"> the timeframe in which costs are eligible under the pre-agreement plan. </w:t>
      </w:r>
    </w:p>
    <w:p w14:paraId="6BD6F5AB" w14:textId="085B4AB0" w:rsidR="000C6B4E" w:rsidRPr="0028082C" w:rsidRDefault="000C6B4E" w:rsidP="009333F8">
      <w:pPr>
        <w:pStyle w:val="BULLETS"/>
        <w:spacing w:line="240" w:lineRule="auto"/>
      </w:pPr>
      <w:r w:rsidRPr="0028082C">
        <w:t xml:space="preserve">Grant </w:t>
      </w:r>
      <w:r>
        <w:t>Recipients</w:t>
      </w:r>
      <w:r w:rsidRPr="0028082C">
        <w:t xml:space="preserve"> that designate a Council of Governments </w:t>
      </w:r>
      <w:r>
        <w:t xml:space="preserve">(COGs) </w:t>
      </w:r>
      <w:r w:rsidRPr="0028082C">
        <w:t xml:space="preserve">as the </w:t>
      </w:r>
      <w:r>
        <w:t>subrecipient</w:t>
      </w:r>
      <w:r w:rsidRPr="0028082C">
        <w:t xml:space="preserve"> to carry out an eligible activity</w:t>
      </w:r>
      <w:r w:rsidR="009768FD">
        <w:t xml:space="preserve">, </w:t>
      </w:r>
      <w:r w:rsidRPr="0028082C">
        <w:t xml:space="preserve">such as </w:t>
      </w:r>
      <w:r w:rsidR="00004A6A">
        <w:t>administration</w:t>
      </w:r>
      <w:r w:rsidRPr="0028082C">
        <w:t xml:space="preserve"> services</w:t>
      </w:r>
      <w:r w:rsidR="009768FD">
        <w:t xml:space="preserve">, </w:t>
      </w:r>
      <w:r w:rsidRPr="0028082C">
        <w:t xml:space="preserve">must award a </w:t>
      </w:r>
      <w:r>
        <w:t>subrecipient</w:t>
      </w:r>
      <w:r w:rsidRPr="0028082C">
        <w:t xml:space="preserve"> interlocal agreement</w:t>
      </w:r>
      <w:r>
        <w:t xml:space="preserve"> </w:t>
      </w:r>
      <w:r w:rsidRPr="0028082C">
        <w:t>before the provider conducts any work to prepare the TxCDBG application for TxCDBG grant funding.</w:t>
      </w:r>
    </w:p>
    <w:p w14:paraId="309B99C2" w14:textId="23310A0F" w:rsidR="000C6B4E" w:rsidRPr="00086DE9" w:rsidRDefault="000C6B4E" w:rsidP="009333F8">
      <w:pPr>
        <w:pStyle w:val="BULLETS"/>
        <w:spacing w:line="240" w:lineRule="auto"/>
        <w:rPr>
          <w:spacing w:val="1"/>
        </w:rPr>
      </w:pPr>
      <w:r w:rsidRPr="00086DE9">
        <w:rPr>
          <w:spacing w:val="1"/>
        </w:rPr>
        <w:t xml:space="preserve">If an </w:t>
      </w:r>
      <w:r w:rsidR="00004A6A">
        <w:rPr>
          <w:spacing w:val="1"/>
        </w:rPr>
        <w:t>administration</w:t>
      </w:r>
      <w:r w:rsidRPr="00086DE9">
        <w:rPr>
          <w:spacing w:val="1"/>
        </w:rPr>
        <w:t xml:space="preserve"> or professional services contractor is preselected and a contract is entered into prior to grant award, the contract should include a statement that in the event TxCDBG funds are not awarded to the applicant, the contract shall be terminated by the applicant.</w:t>
      </w:r>
    </w:p>
    <w:p w14:paraId="5C666C09" w14:textId="7BB04A9F" w:rsidR="000C6B4E" w:rsidRPr="0028082C" w:rsidRDefault="000C6B4E" w:rsidP="009333F8">
      <w:pPr>
        <w:pStyle w:val="BULLETS"/>
        <w:spacing w:line="240" w:lineRule="auto"/>
      </w:pPr>
      <w:r w:rsidRPr="0028082C">
        <w:t xml:space="preserve">The cost of preparing a TxCDBG application is an ineligible cost </w:t>
      </w:r>
      <w:r>
        <w:t>and</w:t>
      </w:r>
      <w:r w:rsidRPr="0028082C">
        <w:t xml:space="preserve"> is not reimbursable.</w:t>
      </w:r>
    </w:p>
    <w:p w14:paraId="604B76D3" w14:textId="77777777" w:rsidR="000C6B4E" w:rsidRDefault="000C6B4E" w:rsidP="009333F8">
      <w:pPr>
        <w:pStyle w:val="ACDBGBODYArial11"/>
        <w:spacing w:line="240" w:lineRule="auto"/>
      </w:pPr>
    </w:p>
    <w:p w14:paraId="4A1A6986" w14:textId="77777777" w:rsidR="000C6B4E" w:rsidRPr="00F53506" w:rsidRDefault="000C6B4E" w:rsidP="009333F8">
      <w:pPr>
        <w:pStyle w:val="ACDBGBODYArial11"/>
        <w:spacing w:line="240" w:lineRule="auto"/>
        <w:rPr>
          <w:b/>
          <w:bCs/>
          <w:lang w:val="en-US"/>
        </w:rPr>
      </w:pPr>
      <w:r w:rsidRPr="00492774">
        <w:rPr>
          <w:b/>
          <w:bCs/>
          <w:lang w:val="en-US"/>
        </w:rPr>
        <w:t>Price as a Selection Factor</w:t>
      </w:r>
    </w:p>
    <w:p w14:paraId="724F1098" w14:textId="798E0625" w:rsidR="000C6B4E" w:rsidRPr="00F54DE1" w:rsidRDefault="000C6B4E" w:rsidP="009333F8">
      <w:pPr>
        <w:pStyle w:val="ACDBGBODYArial11"/>
        <w:spacing w:line="240" w:lineRule="auto"/>
        <w:rPr>
          <w:lang w:val="en-US"/>
        </w:rPr>
      </w:pPr>
      <w:r>
        <w:rPr>
          <w:lang w:val="en-US"/>
        </w:rPr>
        <w:t xml:space="preserve">Texas statutes make a distinction between </w:t>
      </w:r>
      <w:r w:rsidRPr="00F53506">
        <w:rPr>
          <w:b/>
          <w:bCs/>
          <w:lang w:val="en-US"/>
        </w:rPr>
        <w:t>professional services</w:t>
      </w:r>
      <w:r>
        <w:rPr>
          <w:lang w:val="en-US"/>
        </w:rPr>
        <w:t xml:space="preserve"> and other non-construction services. </w:t>
      </w:r>
      <w:r w:rsidRPr="009B763A">
        <w:t xml:space="preserve">The professional services generally used for </w:t>
      </w:r>
      <w:r>
        <w:rPr>
          <w:lang w:val="en-US"/>
        </w:rPr>
        <w:t>Tx</w:t>
      </w:r>
      <w:r w:rsidRPr="009B763A">
        <w:t>CDBG projects means services</w:t>
      </w:r>
      <w:r>
        <w:t xml:space="preserve"> </w:t>
      </w:r>
      <w:r w:rsidRPr="009B763A">
        <w:t xml:space="preserve">within the scope of the practice, as defined </w:t>
      </w:r>
      <w:r>
        <w:t>by state law, of</w:t>
      </w:r>
      <w:r w:rsidR="00F54DE1">
        <w:rPr>
          <w:lang w:val="en-US"/>
        </w:rPr>
        <w:t>:</w:t>
      </w:r>
    </w:p>
    <w:p w14:paraId="5E3C8C08" w14:textId="43906088" w:rsidR="000C6B4E" w:rsidRPr="009B763A" w:rsidRDefault="009768FD" w:rsidP="005F4682">
      <w:pPr>
        <w:pStyle w:val="BULLETS"/>
        <w:numPr>
          <w:ilvl w:val="0"/>
          <w:numId w:val="35"/>
        </w:numPr>
        <w:spacing w:line="240" w:lineRule="auto"/>
      </w:pPr>
      <w:r>
        <w:t>A</w:t>
      </w:r>
      <w:r w:rsidR="000C6B4E" w:rsidRPr="009B763A">
        <w:t>ccounting</w:t>
      </w:r>
    </w:p>
    <w:p w14:paraId="53D4EFA3" w14:textId="25C78CD9" w:rsidR="000C6B4E" w:rsidRPr="009B763A" w:rsidRDefault="009768FD" w:rsidP="005F4682">
      <w:pPr>
        <w:pStyle w:val="BULLETS"/>
        <w:numPr>
          <w:ilvl w:val="0"/>
          <w:numId w:val="35"/>
        </w:numPr>
        <w:spacing w:line="240" w:lineRule="auto"/>
      </w:pPr>
      <w:r>
        <w:t>A</w:t>
      </w:r>
      <w:r w:rsidR="000C6B4E" w:rsidRPr="009B763A">
        <w:t>rchitecture</w:t>
      </w:r>
    </w:p>
    <w:p w14:paraId="2AFA2D2A" w14:textId="24A1E10D" w:rsidR="000C6B4E" w:rsidRPr="009B763A" w:rsidRDefault="009768FD" w:rsidP="005F4682">
      <w:pPr>
        <w:pStyle w:val="BULLETS"/>
        <w:numPr>
          <w:ilvl w:val="0"/>
          <w:numId w:val="35"/>
        </w:numPr>
        <w:spacing w:line="240" w:lineRule="auto"/>
      </w:pPr>
      <w:r>
        <w:t>L</w:t>
      </w:r>
      <w:r w:rsidR="000C6B4E" w:rsidRPr="009B763A">
        <w:t xml:space="preserve">andscape </w:t>
      </w:r>
      <w:r w:rsidR="000C6B4E">
        <w:t>a</w:t>
      </w:r>
      <w:r w:rsidR="000C6B4E" w:rsidRPr="009B763A">
        <w:t>rchitecture</w:t>
      </w:r>
    </w:p>
    <w:p w14:paraId="5AA35BC7" w14:textId="41472CF1" w:rsidR="000C6B4E" w:rsidRPr="009B763A" w:rsidRDefault="009768FD" w:rsidP="005F4682">
      <w:pPr>
        <w:pStyle w:val="BULLETS"/>
        <w:numPr>
          <w:ilvl w:val="0"/>
          <w:numId w:val="35"/>
        </w:numPr>
        <w:spacing w:line="240" w:lineRule="auto"/>
      </w:pPr>
      <w:r>
        <w:t>L</w:t>
      </w:r>
      <w:r w:rsidR="000C6B4E" w:rsidRPr="009B763A">
        <w:t>and surveying</w:t>
      </w:r>
    </w:p>
    <w:p w14:paraId="4804D1FC" w14:textId="5F9FA400" w:rsidR="000C6B4E" w:rsidRPr="009B763A" w:rsidRDefault="009768FD" w:rsidP="005F4682">
      <w:pPr>
        <w:pStyle w:val="BULLETS"/>
        <w:numPr>
          <w:ilvl w:val="0"/>
          <w:numId w:val="35"/>
        </w:numPr>
        <w:spacing w:line="240" w:lineRule="auto"/>
      </w:pPr>
      <w:r>
        <w:t>P</w:t>
      </w:r>
      <w:r w:rsidR="000C6B4E" w:rsidRPr="009B763A">
        <w:t>rofessional engineering</w:t>
      </w:r>
    </w:p>
    <w:p w14:paraId="7BF89193" w14:textId="260EC509" w:rsidR="000C6B4E" w:rsidRDefault="009768FD" w:rsidP="005F4682">
      <w:pPr>
        <w:pStyle w:val="BULLETS"/>
        <w:numPr>
          <w:ilvl w:val="0"/>
          <w:numId w:val="35"/>
        </w:numPr>
        <w:spacing w:line="240" w:lineRule="auto"/>
      </w:pPr>
      <w:r>
        <w:t>R</w:t>
      </w:r>
      <w:r w:rsidR="000C6B4E">
        <w:t>eal estate appraising or</w:t>
      </w:r>
      <w:r w:rsidR="000C6B4E" w:rsidRPr="009B763A">
        <w:t xml:space="preserve"> </w:t>
      </w:r>
    </w:p>
    <w:p w14:paraId="09F5BD3A" w14:textId="588EAF74" w:rsidR="000C6B4E" w:rsidRDefault="009768FD" w:rsidP="005F4682">
      <w:pPr>
        <w:pStyle w:val="BULLETS"/>
        <w:numPr>
          <w:ilvl w:val="0"/>
          <w:numId w:val="35"/>
        </w:numPr>
        <w:spacing w:line="240" w:lineRule="auto"/>
      </w:pPr>
      <w:r>
        <w:t>P</w:t>
      </w:r>
      <w:r w:rsidR="000C6B4E">
        <w:t xml:space="preserve">rovided </w:t>
      </w:r>
      <w:r w:rsidR="000C6B4E" w:rsidRPr="009B763A">
        <w:t>in connection with the professional employm</w:t>
      </w:r>
      <w:r w:rsidR="000C6B4E">
        <w:t>ent or practice of a person who is</w:t>
      </w:r>
      <w:r w:rsidR="000C6B4E" w:rsidRPr="009B763A">
        <w:t xml:space="preserve"> licensed or registered as</w:t>
      </w:r>
      <w:r w:rsidR="00F54DE1">
        <w:t>:</w:t>
      </w:r>
    </w:p>
    <w:p w14:paraId="33690142" w14:textId="4B14A587" w:rsidR="000C6B4E" w:rsidRPr="009B763A" w:rsidRDefault="009768FD" w:rsidP="005F4682">
      <w:pPr>
        <w:pStyle w:val="BULLETS"/>
        <w:numPr>
          <w:ilvl w:val="0"/>
          <w:numId w:val="5"/>
        </w:numPr>
        <w:spacing w:line="240" w:lineRule="auto"/>
      </w:pPr>
      <w:r>
        <w:t>A</w:t>
      </w:r>
      <w:r w:rsidR="000C6B4E" w:rsidRPr="009B763A">
        <w:t xml:space="preserve"> certified public accountant</w:t>
      </w:r>
    </w:p>
    <w:p w14:paraId="5E621ABD" w14:textId="2D92E55C" w:rsidR="000C6B4E" w:rsidRPr="009B763A" w:rsidRDefault="009768FD" w:rsidP="005F4682">
      <w:pPr>
        <w:pStyle w:val="BULLETS"/>
        <w:numPr>
          <w:ilvl w:val="0"/>
          <w:numId w:val="5"/>
        </w:numPr>
        <w:spacing w:line="240" w:lineRule="auto"/>
      </w:pPr>
      <w:r>
        <w:t>A</w:t>
      </w:r>
      <w:r w:rsidR="000C6B4E">
        <w:t>n</w:t>
      </w:r>
      <w:r w:rsidR="000C6B4E" w:rsidRPr="009B763A">
        <w:t xml:space="preserve"> architect</w:t>
      </w:r>
    </w:p>
    <w:p w14:paraId="74A8B5B9" w14:textId="79DF13BD" w:rsidR="000C6B4E" w:rsidRPr="009B763A" w:rsidRDefault="009768FD" w:rsidP="005F4682">
      <w:pPr>
        <w:pStyle w:val="BULLETS"/>
        <w:numPr>
          <w:ilvl w:val="0"/>
          <w:numId w:val="5"/>
        </w:numPr>
        <w:spacing w:line="240" w:lineRule="auto"/>
      </w:pPr>
      <w:r>
        <w:t>A</w:t>
      </w:r>
      <w:r w:rsidR="000C6B4E" w:rsidRPr="009B763A">
        <w:t xml:space="preserve"> landscape architect</w:t>
      </w:r>
    </w:p>
    <w:p w14:paraId="07507E16" w14:textId="2950279F" w:rsidR="000C6B4E" w:rsidRPr="009B763A" w:rsidRDefault="009768FD" w:rsidP="005F4682">
      <w:pPr>
        <w:pStyle w:val="BULLETS"/>
        <w:numPr>
          <w:ilvl w:val="0"/>
          <w:numId w:val="5"/>
        </w:numPr>
        <w:spacing w:line="240" w:lineRule="auto"/>
      </w:pPr>
      <w:r>
        <w:t>A</w:t>
      </w:r>
      <w:r w:rsidR="000C6B4E" w:rsidRPr="009B763A">
        <w:t xml:space="preserve"> land surveyor</w:t>
      </w:r>
    </w:p>
    <w:p w14:paraId="3601B97B" w14:textId="1AF60AA0" w:rsidR="000C6B4E" w:rsidRDefault="009768FD" w:rsidP="005F4682">
      <w:pPr>
        <w:pStyle w:val="BULLETS"/>
        <w:numPr>
          <w:ilvl w:val="0"/>
          <w:numId w:val="5"/>
        </w:numPr>
        <w:spacing w:line="240" w:lineRule="auto"/>
      </w:pPr>
      <w:r>
        <w:t>A</w:t>
      </w:r>
      <w:r w:rsidR="000C6B4E" w:rsidRPr="009B763A">
        <w:t xml:space="preserve"> professional </w:t>
      </w:r>
      <w:proofErr w:type="gramStart"/>
      <w:r w:rsidR="000C6B4E" w:rsidRPr="009B763A">
        <w:t>engineer;</w:t>
      </w:r>
      <w:proofErr w:type="gramEnd"/>
      <w:r w:rsidR="000C6B4E" w:rsidRPr="009B763A">
        <w:t xml:space="preserve"> or</w:t>
      </w:r>
      <w:r w:rsidR="000C6B4E">
        <w:t xml:space="preserve"> a</w:t>
      </w:r>
      <w:r w:rsidR="000C6B4E" w:rsidRPr="009B763A">
        <w:t xml:space="preserve"> state certified or state licensed real estate appraiser.</w:t>
      </w:r>
    </w:p>
    <w:p w14:paraId="7B3572F4" w14:textId="77777777" w:rsidR="000C6B4E" w:rsidRDefault="000C6B4E" w:rsidP="009333F8">
      <w:pPr>
        <w:pStyle w:val="ACDBGBODYArial11"/>
        <w:spacing w:line="240" w:lineRule="auto"/>
        <w:rPr>
          <w:lang w:val="en-US"/>
        </w:rPr>
      </w:pPr>
    </w:p>
    <w:p w14:paraId="4C880196" w14:textId="5866B487" w:rsidR="000C6B4E" w:rsidRPr="00B50BE2" w:rsidRDefault="000C6B4E" w:rsidP="009333F8">
      <w:pPr>
        <w:pStyle w:val="ACDBGBODYArial11"/>
        <w:spacing w:line="240" w:lineRule="auto"/>
      </w:pPr>
      <w:r w:rsidRPr="0028082C">
        <w:t xml:space="preserve">For the procurement of </w:t>
      </w:r>
      <w:r>
        <w:rPr>
          <w:lang w:val="en-US"/>
        </w:rPr>
        <w:t xml:space="preserve"> architectur</w:t>
      </w:r>
      <w:r w:rsidR="00F8604A">
        <w:rPr>
          <w:lang w:val="en-US"/>
        </w:rPr>
        <w:t>al</w:t>
      </w:r>
      <w:r>
        <w:rPr>
          <w:lang w:val="en-US"/>
        </w:rPr>
        <w:t>, engineering, or land surveying services</w:t>
      </w:r>
      <w:r w:rsidRPr="0028082C">
        <w:t xml:space="preserve">, price may </w:t>
      </w:r>
      <w:r w:rsidRPr="004B25B9">
        <w:rPr>
          <w:b/>
          <w:bCs/>
          <w:lang w:val="en-US"/>
        </w:rPr>
        <w:t>not</w:t>
      </w:r>
      <w:r w:rsidRPr="0028082C">
        <w:t xml:space="preserve"> be used as a selection factor and the Grant </w:t>
      </w:r>
      <w:r>
        <w:rPr>
          <w:lang w:val="en-US"/>
        </w:rPr>
        <w:t>Recipient</w:t>
      </w:r>
      <w:r w:rsidRPr="0028082C">
        <w:t xml:space="preserve"> </w:t>
      </w:r>
      <w:r w:rsidRPr="00470FF4">
        <w:t>must</w:t>
      </w:r>
      <w:r w:rsidRPr="0028082C">
        <w:t xml:space="preserve"> choose the most highly qualified provider of these services on the basis of demonstrated competence and qualifications.</w:t>
      </w:r>
      <w:r>
        <w:rPr>
          <w:lang w:val="en-US"/>
        </w:rPr>
        <w:t xml:space="preserve"> </w:t>
      </w:r>
      <w:r w:rsidRPr="0028082C">
        <w:t>Once the most qualified respondent is chosen, then a fair and reasonable price may be negotiated.</w:t>
      </w:r>
      <w:r w:rsidR="00F54DE1">
        <w:rPr>
          <w:rStyle w:val="FootnoteReference"/>
        </w:rPr>
        <w:footnoteReference w:id="4"/>
      </w:r>
      <w:r w:rsidRPr="0028082C">
        <w:t xml:space="preserve"> </w:t>
      </w:r>
    </w:p>
    <w:p w14:paraId="18B1B694" w14:textId="77777777" w:rsidR="000C6B4E" w:rsidRPr="00B50BE2" w:rsidRDefault="000C6B4E" w:rsidP="009333F8">
      <w:pPr>
        <w:pStyle w:val="ACDBGBODYArial11"/>
        <w:spacing w:line="240" w:lineRule="auto"/>
      </w:pPr>
    </w:p>
    <w:p w14:paraId="74B6127F" w14:textId="5DDD77F7" w:rsidR="000C6B4E" w:rsidRPr="00B50BE2" w:rsidRDefault="000C6B4E" w:rsidP="009333F8">
      <w:pPr>
        <w:pStyle w:val="ACDBGBODYArial11"/>
        <w:spacing w:line="240" w:lineRule="auto"/>
      </w:pPr>
      <w:r w:rsidRPr="00B50BE2">
        <w:t xml:space="preserve">In contrast, for </w:t>
      </w:r>
      <w:r w:rsidR="00004A6A">
        <w:t>administration</w:t>
      </w:r>
      <w:r w:rsidRPr="00B50BE2">
        <w:t xml:space="preserve"> services and other </w:t>
      </w:r>
      <w:r>
        <w:rPr>
          <w:lang w:val="en-US"/>
        </w:rPr>
        <w:t>non-construction</w:t>
      </w:r>
      <w:r w:rsidRPr="00B50BE2">
        <w:t xml:space="preserve"> services </w:t>
      </w:r>
      <w:r>
        <w:rPr>
          <w:lang w:val="en-US"/>
        </w:rPr>
        <w:t xml:space="preserve">not listed above, including </w:t>
      </w:r>
      <w:r w:rsidRPr="00B50BE2">
        <w:t>grant writing and</w:t>
      </w:r>
      <w:r>
        <w:rPr>
          <w:lang w:val="en-US"/>
        </w:rPr>
        <w:t xml:space="preserve"> planning</w:t>
      </w:r>
      <w:r w:rsidRPr="00B50BE2">
        <w:t>, price</w:t>
      </w:r>
      <w:r w:rsidR="00236980">
        <w:t xml:space="preserve"> must</w:t>
      </w:r>
      <w:r w:rsidRPr="00B50BE2">
        <w:t xml:space="preserve"> be </w:t>
      </w:r>
      <w:r w:rsidR="00653FB1">
        <w:t xml:space="preserve">included in the </w:t>
      </w:r>
      <w:r w:rsidR="009D10AF">
        <w:t>proposal</w:t>
      </w:r>
      <w:r w:rsidR="00653FB1">
        <w:t xml:space="preserve"> and considered in the </w:t>
      </w:r>
      <w:r w:rsidRPr="00B50BE2">
        <w:t xml:space="preserve"> selection</w:t>
      </w:r>
      <w:r w:rsidR="009D10AF">
        <w:t xml:space="preserve"> process, but Grant Recipients may determine whether it will be a selection factor.</w:t>
      </w:r>
      <w:r w:rsidRPr="00B50BE2">
        <w:t xml:space="preserve"> </w:t>
      </w:r>
    </w:p>
    <w:p w14:paraId="07F07DF6" w14:textId="77777777" w:rsidR="000C6B4E" w:rsidRDefault="000C6B4E" w:rsidP="009333F8"/>
    <w:p w14:paraId="301D0888" w14:textId="77777777" w:rsidR="000C6B4E" w:rsidRPr="00F53506" w:rsidRDefault="000C6B4E" w:rsidP="009333F8">
      <w:pPr>
        <w:autoSpaceDE w:val="0"/>
        <w:autoSpaceDN w:val="0"/>
        <w:adjustRightInd w:val="0"/>
        <w:jc w:val="both"/>
        <w:rPr>
          <w:rFonts w:cs="Arial"/>
          <w:b/>
          <w:bCs/>
          <w:szCs w:val="22"/>
        </w:rPr>
      </w:pPr>
      <w:r w:rsidRPr="00492774">
        <w:rPr>
          <w:rFonts w:cs="Arial"/>
          <w:b/>
          <w:bCs/>
          <w:szCs w:val="22"/>
        </w:rPr>
        <w:t>Non-Construction Services Exempt from Competitive Procurement</w:t>
      </w:r>
    </w:p>
    <w:p w14:paraId="64DD0BCA" w14:textId="77777777" w:rsidR="000C6B4E" w:rsidRPr="00431D9B" w:rsidRDefault="000C6B4E" w:rsidP="009333F8">
      <w:pPr>
        <w:pStyle w:val="Arial11BOLD"/>
        <w:rPr>
          <w:b w:val="0"/>
          <w:bCs/>
        </w:rPr>
      </w:pPr>
      <w:r w:rsidRPr="00431D9B">
        <w:rPr>
          <w:b w:val="0"/>
          <w:bCs/>
        </w:rPr>
        <w:t xml:space="preserve">The </w:t>
      </w:r>
      <w:r>
        <w:rPr>
          <w:b w:val="0"/>
          <w:bCs/>
        </w:rPr>
        <w:t>p</w:t>
      </w:r>
      <w:r w:rsidRPr="00431D9B">
        <w:rPr>
          <w:b w:val="0"/>
          <w:bCs/>
        </w:rPr>
        <w:t xml:space="preserve">rocurement </w:t>
      </w:r>
      <w:r>
        <w:rPr>
          <w:b w:val="0"/>
          <w:bCs/>
        </w:rPr>
        <w:t>r</w:t>
      </w:r>
      <w:r w:rsidRPr="00431D9B">
        <w:rPr>
          <w:b w:val="0"/>
          <w:bCs/>
        </w:rPr>
        <w:t xml:space="preserve">equirements </w:t>
      </w:r>
      <w:r>
        <w:rPr>
          <w:b w:val="0"/>
          <w:bCs/>
        </w:rPr>
        <w:t>d</w:t>
      </w:r>
      <w:r w:rsidRPr="00431D9B">
        <w:rPr>
          <w:b w:val="0"/>
          <w:bCs/>
        </w:rPr>
        <w:t xml:space="preserve">escribed in this </w:t>
      </w:r>
      <w:r>
        <w:rPr>
          <w:b w:val="0"/>
          <w:bCs/>
        </w:rPr>
        <w:t>c</w:t>
      </w:r>
      <w:r w:rsidRPr="00431D9B">
        <w:rPr>
          <w:b w:val="0"/>
          <w:bCs/>
        </w:rPr>
        <w:t xml:space="preserve">hapter will not </w:t>
      </w:r>
      <w:r>
        <w:rPr>
          <w:b w:val="0"/>
          <w:bCs/>
        </w:rPr>
        <w:t>a</w:t>
      </w:r>
      <w:r w:rsidRPr="00431D9B">
        <w:rPr>
          <w:b w:val="0"/>
          <w:bCs/>
        </w:rPr>
        <w:t>pply to</w:t>
      </w:r>
    </w:p>
    <w:p w14:paraId="0F1A420A" w14:textId="53A6E4CE" w:rsidR="000C6B4E" w:rsidRPr="0028082C" w:rsidRDefault="00004A6A" w:rsidP="005F4682">
      <w:pPr>
        <w:pStyle w:val="BULLETS"/>
        <w:numPr>
          <w:ilvl w:val="0"/>
          <w:numId w:val="34"/>
        </w:numPr>
        <w:spacing w:line="240" w:lineRule="auto"/>
        <w:ind w:right="378"/>
      </w:pPr>
      <w:r>
        <w:t>Administration</w:t>
      </w:r>
      <w:r w:rsidR="000C6B4E" w:rsidRPr="0028082C">
        <w:t xml:space="preserve"> </w:t>
      </w:r>
      <w:r w:rsidR="000C6B4E">
        <w:t>and p</w:t>
      </w:r>
      <w:r w:rsidR="000C6B4E" w:rsidRPr="0028082C">
        <w:t>rofessional services</w:t>
      </w:r>
      <w:r w:rsidR="000C6B4E">
        <w:t xml:space="preserve"> </w:t>
      </w:r>
      <w:r w:rsidR="000C6B4E" w:rsidRPr="0028082C">
        <w:t xml:space="preserve">performed by an employee of the Grant </w:t>
      </w:r>
      <w:r w:rsidR="000C6B4E">
        <w:t>Recipient</w:t>
      </w:r>
      <w:r w:rsidR="000C6B4E" w:rsidRPr="0028082C">
        <w:t>; and</w:t>
      </w:r>
    </w:p>
    <w:p w14:paraId="41690A41" w14:textId="77777777" w:rsidR="00604F44" w:rsidRDefault="00F54DE1" w:rsidP="005F4682">
      <w:pPr>
        <w:pStyle w:val="BULLETS"/>
        <w:numPr>
          <w:ilvl w:val="0"/>
          <w:numId w:val="34"/>
        </w:numPr>
        <w:spacing w:line="240" w:lineRule="auto"/>
      </w:pPr>
      <w:r>
        <w:t>A</w:t>
      </w:r>
      <w:r w:rsidR="000C6B4E">
        <w:t xml:space="preserve"> </w:t>
      </w:r>
      <w:r w:rsidR="000C6B4E" w:rsidRPr="0028082C">
        <w:t>sub</w:t>
      </w:r>
      <w:r w:rsidR="000C6B4E">
        <w:t>-applicant</w:t>
      </w:r>
      <w:r w:rsidR="000C6B4E" w:rsidRPr="0028082C">
        <w:t xml:space="preserve"> interlocal agreement</w:t>
      </w:r>
      <w:r w:rsidR="000C6B4E">
        <w:t xml:space="preserve"> </w:t>
      </w:r>
      <w:r w:rsidR="000C6B4E" w:rsidRPr="0028082C">
        <w:t xml:space="preserve">with an agency of the state, such as an agreement with a </w:t>
      </w:r>
      <w:r w:rsidR="000C6B4E">
        <w:t>COG</w:t>
      </w:r>
      <w:r w:rsidR="000C6B4E" w:rsidRPr="0028082C">
        <w:t xml:space="preserve">, whereby a Grant </w:t>
      </w:r>
      <w:r w:rsidR="000C6B4E">
        <w:t>Recipient</w:t>
      </w:r>
      <w:r w:rsidR="000C6B4E" w:rsidRPr="0028082C">
        <w:t xml:space="preserve"> designates the </w:t>
      </w:r>
      <w:r w:rsidR="000C6B4E">
        <w:t>subrecipient</w:t>
      </w:r>
      <w:r w:rsidR="000C6B4E" w:rsidRPr="0028082C">
        <w:t xml:space="preserve"> to carry out an eligible activity</w:t>
      </w:r>
      <w:r>
        <w:t xml:space="preserve">, </w:t>
      </w:r>
      <w:r w:rsidR="000C6B4E" w:rsidRPr="0028082C">
        <w:t xml:space="preserve">such as </w:t>
      </w:r>
      <w:r w:rsidR="00004A6A">
        <w:t>administration</w:t>
      </w:r>
      <w:r w:rsidR="000C6B4E" w:rsidRPr="0028082C">
        <w:t xml:space="preserve"> services</w:t>
      </w:r>
      <w:r>
        <w:t xml:space="preserve">, </w:t>
      </w:r>
      <w:r w:rsidR="000C6B4E" w:rsidRPr="0028082C">
        <w:t xml:space="preserve">for the Grant </w:t>
      </w:r>
      <w:r w:rsidR="000C6B4E">
        <w:t>Recipient</w:t>
      </w:r>
      <w:r w:rsidR="000C6B4E" w:rsidRPr="0028082C">
        <w:t>.</w:t>
      </w:r>
      <w:r>
        <w:rPr>
          <w:rStyle w:val="FootnoteReference"/>
        </w:rPr>
        <w:footnoteReference w:id="5"/>
      </w:r>
      <w:r w:rsidR="000C6B4E" w:rsidRPr="0028082C">
        <w:t xml:space="preserve"> </w:t>
      </w:r>
      <w:r>
        <w:t xml:space="preserve"> </w:t>
      </w:r>
    </w:p>
    <w:p w14:paraId="2950ADB3" w14:textId="66159CD4" w:rsidR="00604F44" w:rsidRPr="00604F44" w:rsidRDefault="000C6B4E" w:rsidP="00604F44">
      <w:pPr>
        <w:pStyle w:val="BULLETS"/>
        <w:numPr>
          <w:ilvl w:val="1"/>
          <w:numId w:val="34"/>
        </w:numPr>
        <w:spacing w:line="240" w:lineRule="auto"/>
      </w:pPr>
      <w:r>
        <w:t xml:space="preserve">Even though the procurement requirements described in this chapter do not apply with an agency of the state, </w:t>
      </w:r>
      <w:r w:rsidR="00604F44" w:rsidRPr="00604F44">
        <w:rPr>
          <w:color w:val="2F5496" w:themeColor="accent1" w:themeShade="BF"/>
        </w:rPr>
        <w:t>use of an interlocal agreement to secure grant-related services must be consistent with the principles of fair and open selection processes;</w:t>
      </w:r>
      <w:r w:rsidR="00604F44">
        <w:t xml:space="preserve"> all conflict-of-interest situations apply as described in </w:t>
      </w:r>
      <w:r w:rsidR="00604F44" w:rsidRPr="00693499">
        <w:rPr>
          <w:i/>
          <w:iCs/>
        </w:rPr>
        <w:t>Chapter 1.2.2 Conflict of Interest</w:t>
      </w:r>
      <w:r w:rsidR="00604F44">
        <w:t xml:space="preserve">, </w:t>
      </w:r>
      <w:r w:rsidR="00604F44" w:rsidRPr="00604F44">
        <w:rPr>
          <w:color w:val="2F5496" w:themeColor="accent1" w:themeShade="BF"/>
        </w:rPr>
        <w:t>and the selection and / or price determination must not include any prohibited procurement strategies described in Chapter 5.1.1.</w:t>
      </w:r>
      <w:r w:rsidR="00360292">
        <w:rPr>
          <w:i/>
          <w:iCs/>
        </w:rPr>
        <w:t xml:space="preserve">  </w:t>
      </w:r>
    </w:p>
    <w:p w14:paraId="0AA7145E" w14:textId="46EDBBF6" w:rsidR="000C6B4E" w:rsidRPr="00604F44" w:rsidRDefault="00360292" w:rsidP="00604F44">
      <w:pPr>
        <w:pStyle w:val="BULLETS"/>
        <w:numPr>
          <w:ilvl w:val="1"/>
          <w:numId w:val="34"/>
        </w:numPr>
        <w:spacing w:line="240" w:lineRule="auto"/>
        <w:rPr>
          <w:color w:val="2F5496" w:themeColor="accent1" w:themeShade="BF"/>
        </w:rPr>
      </w:pPr>
      <w:r w:rsidRPr="00604F44">
        <w:rPr>
          <w:color w:val="2F5496" w:themeColor="accent1" w:themeShade="BF"/>
        </w:rPr>
        <w:t>To be considered a subrecipient agreement not subject to the requirements of this chapter, the written agreement must include at a minimum:</w:t>
      </w:r>
    </w:p>
    <w:p w14:paraId="3BE75C0A" w14:textId="1F81F853" w:rsidR="00360292" w:rsidRPr="00604F44" w:rsidRDefault="00360292" w:rsidP="00604F44">
      <w:pPr>
        <w:pStyle w:val="BULLETS"/>
        <w:numPr>
          <w:ilvl w:val="2"/>
          <w:numId w:val="34"/>
        </w:numPr>
        <w:spacing w:line="240" w:lineRule="auto"/>
        <w:rPr>
          <w:color w:val="2F5496" w:themeColor="accent1" w:themeShade="BF"/>
        </w:rPr>
      </w:pPr>
      <w:r w:rsidRPr="00604F44">
        <w:rPr>
          <w:color w:val="2F5496" w:themeColor="accent1" w:themeShade="BF"/>
        </w:rPr>
        <w:t>Statement of work, including a description of the work to be performed, a schedule for completing the work, and a budget, with sufficient detail to provide a sound basis for the </w:t>
      </w:r>
      <w:hyperlink r:id="rId8" w:history="1">
        <w:r w:rsidRPr="00604F44">
          <w:rPr>
            <w:color w:val="2F5496" w:themeColor="accent1" w:themeShade="BF"/>
          </w:rPr>
          <w:t>Grant Recipient</w:t>
        </w:r>
      </w:hyperlink>
      <w:r w:rsidRPr="00604F44">
        <w:rPr>
          <w:color w:val="2F5496" w:themeColor="accent1" w:themeShade="BF"/>
        </w:rPr>
        <w:t> effectively to monitor performance under the agreement.</w:t>
      </w:r>
    </w:p>
    <w:p w14:paraId="0A5F38C5" w14:textId="77777777" w:rsidR="00D67FD5" w:rsidRPr="00604F44" w:rsidRDefault="00360292" w:rsidP="00604F44">
      <w:pPr>
        <w:pStyle w:val="BULLETS"/>
        <w:numPr>
          <w:ilvl w:val="2"/>
          <w:numId w:val="34"/>
        </w:numPr>
        <w:spacing w:line="240" w:lineRule="auto"/>
        <w:rPr>
          <w:color w:val="2F5496" w:themeColor="accent1" w:themeShade="BF"/>
        </w:rPr>
      </w:pPr>
      <w:r w:rsidRPr="00604F44">
        <w:rPr>
          <w:color w:val="2F5496" w:themeColor="accent1" w:themeShade="BF"/>
        </w:rPr>
        <w:t>Identification of the particular records the </w:t>
      </w:r>
      <w:hyperlink r:id="rId9" w:history="1">
        <w:r w:rsidRPr="00604F44">
          <w:rPr>
            <w:color w:val="2F5496" w:themeColor="accent1" w:themeShade="BF"/>
          </w:rPr>
          <w:t>subrecipient</w:t>
        </w:r>
      </w:hyperlink>
      <w:r w:rsidRPr="00604F44">
        <w:rPr>
          <w:color w:val="2F5496" w:themeColor="accent1" w:themeShade="BF"/>
        </w:rPr>
        <w:t> must maintain and the particular reports the </w:t>
      </w:r>
      <w:hyperlink r:id="rId10" w:history="1">
        <w:r w:rsidRPr="00604F44">
          <w:rPr>
            <w:color w:val="2F5496" w:themeColor="accent1" w:themeShade="BF"/>
          </w:rPr>
          <w:t>subrecipient</w:t>
        </w:r>
      </w:hyperlink>
      <w:r w:rsidRPr="00604F44">
        <w:rPr>
          <w:color w:val="2F5496" w:themeColor="accent1" w:themeShade="BF"/>
        </w:rPr>
        <w:t> must submit in order to assist the </w:t>
      </w:r>
      <w:hyperlink r:id="rId11" w:history="1">
        <w:r w:rsidRPr="00604F44">
          <w:rPr>
            <w:color w:val="2F5496" w:themeColor="accent1" w:themeShade="BF"/>
          </w:rPr>
          <w:t>recipient</w:t>
        </w:r>
      </w:hyperlink>
      <w:r w:rsidRPr="00604F44">
        <w:rPr>
          <w:color w:val="2F5496" w:themeColor="accent1" w:themeShade="BF"/>
        </w:rPr>
        <w:t> in meeting its recordkeeping and reporting requirements.</w:t>
      </w:r>
    </w:p>
    <w:p w14:paraId="4A043589" w14:textId="77777777" w:rsidR="00D67FD5" w:rsidRPr="00604F44" w:rsidRDefault="00D67FD5" w:rsidP="00604F44">
      <w:pPr>
        <w:pStyle w:val="BULLETS"/>
        <w:numPr>
          <w:ilvl w:val="2"/>
          <w:numId w:val="34"/>
        </w:numPr>
        <w:spacing w:line="240" w:lineRule="auto"/>
        <w:rPr>
          <w:color w:val="2F5496" w:themeColor="accent1" w:themeShade="BF"/>
        </w:rPr>
      </w:pPr>
      <w:r w:rsidRPr="00604F44">
        <w:rPr>
          <w:color w:val="2F5496" w:themeColor="accent1" w:themeShade="BF"/>
        </w:rPr>
        <w:t>Requirement that</w:t>
      </w:r>
      <w:r w:rsidR="00360292" w:rsidRPr="00604F44">
        <w:rPr>
          <w:color w:val="2F5496" w:themeColor="accent1" w:themeShade="BF"/>
        </w:rPr>
        <w:t> </w:t>
      </w:r>
      <w:hyperlink r:id="rId12" w:history="1">
        <w:r w:rsidR="00360292" w:rsidRPr="00604F44">
          <w:rPr>
            <w:color w:val="2F5496" w:themeColor="accent1" w:themeShade="BF"/>
          </w:rPr>
          <w:t>subrecipient</w:t>
        </w:r>
      </w:hyperlink>
      <w:r w:rsidR="00360292" w:rsidRPr="00604F44">
        <w:rPr>
          <w:color w:val="2F5496" w:themeColor="accent1" w:themeShade="BF"/>
        </w:rPr>
        <w:t> to carry out each activity in compliance with all Federal</w:t>
      </w:r>
      <w:r w:rsidRPr="00604F44">
        <w:rPr>
          <w:color w:val="2F5496" w:themeColor="accent1" w:themeShade="BF"/>
        </w:rPr>
        <w:t>, state, and program requirements, including the current TxCDBG</w:t>
      </w:r>
      <w:r w:rsidR="00360292" w:rsidRPr="00604F44">
        <w:rPr>
          <w:color w:val="2F5496" w:themeColor="accent1" w:themeShade="BF"/>
        </w:rPr>
        <w:t xml:space="preserve"> </w:t>
      </w:r>
      <w:r w:rsidRPr="00604F44">
        <w:rPr>
          <w:color w:val="2F5496" w:themeColor="accent1" w:themeShade="BF"/>
        </w:rPr>
        <w:t xml:space="preserve">Project Implementation Manual.  </w:t>
      </w:r>
    </w:p>
    <w:p w14:paraId="0EC86F22" w14:textId="74201A3F" w:rsidR="00360292" w:rsidRPr="00604F44" w:rsidRDefault="00D67FD5" w:rsidP="00604F44">
      <w:pPr>
        <w:pStyle w:val="BULLETS"/>
        <w:numPr>
          <w:ilvl w:val="2"/>
          <w:numId w:val="34"/>
        </w:numPr>
        <w:spacing w:line="240" w:lineRule="auto"/>
        <w:rPr>
          <w:color w:val="2F5496" w:themeColor="accent1" w:themeShade="BF"/>
        </w:rPr>
      </w:pPr>
      <w:r w:rsidRPr="00604F44">
        <w:rPr>
          <w:color w:val="2F5496" w:themeColor="accent1" w:themeShade="BF"/>
        </w:rPr>
        <w:t>Re</w:t>
      </w:r>
      <w:r w:rsidR="00360292" w:rsidRPr="00604F44">
        <w:rPr>
          <w:color w:val="2F5496" w:themeColor="accent1" w:themeShade="BF"/>
        </w:rPr>
        <w:t>medies for noncompliance and provisions on termination in accordance with </w:t>
      </w:r>
      <w:hyperlink r:id="rId13" w:history="1">
        <w:r w:rsidR="00360292" w:rsidRPr="00604F44">
          <w:rPr>
            <w:color w:val="2F5496" w:themeColor="accent1" w:themeShade="BF"/>
          </w:rPr>
          <w:t>2 CFR part 200</w:t>
        </w:r>
      </w:hyperlink>
      <w:r w:rsidR="00360292" w:rsidRPr="00604F44">
        <w:rPr>
          <w:color w:val="2F5496" w:themeColor="accent1" w:themeShade="BF"/>
        </w:rPr>
        <w:t>, subpart D.</w:t>
      </w:r>
    </w:p>
    <w:p w14:paraId="01F73A2A" w14:textId="77777777" w:rsidR="00AC01FE" w:rsidRDefault="00AC01FE" w:rsidP="007A45BF"/>
    <w:p w14:paraId="46C51BB6" w14:textId="77777777" w:rsidR="000C6B4E" w:rsidRPr="00B50BE2" w:rsidRDefault="000C6B4E" w:rsidP="009333F8">
      <w:pPr>
        <w:pStyle w:val="Arial11BOLD"/>
      </w:pPr>
      <w:r w:rsidRPr="00B50BE2">
        <w:t xml:space="preserve">Engineering </w:t>
      </w:r>
      <w:r>
        <w:t>S</w:t>
      </w:r>
      <w:r w:rsidRPr="00B50BE2">
        <w:t>ervices</w:t>
      </w:r>
    </w:p>
    <w:p w14:paraId="12C4EC7D" w14:textId="24893A08" w:rsidR="000C6B4E" w:rsidRPr="00B50BE2" w:rsidRDefault="000C6B4E" w:rsidP="009333F8">
      <w:pPr>
        <w:pStyle w:val="ACDBGBODYArial11"/>
        <w:spacing w:line="240" w:lineRule="auto"/>
      </w:pPr>
      <w:r w:rsidRPr="00B50BE2">
        <w:t>The Texas Engineering Practice Act requires most public works projects to be designed, supervised, inspected, and accepted by a registered professional engineer.</w:t>
      </w:r>
      <w:r>
        <w:rPr>
          <w:lang w:val="en-US"/>
        </w:rPr>
        <w:t xml:space="preserve"> </w:t>
      </w:r>
      <w:r w:rsidRPr="00B50BE2">
        <w:t xml:space="preserve">If the project is exempt from this requirement, the Grant </w:t>
      </w:r>
      <w:r>
        <w:rPr>
          <w:lang w:val="en-US"/>
        </w:rPr>
        <w:t>Recipient</w:t>
      </w:r>
      <w:r w:rsidRPr="0028082C">
        <w:t xml:space="preserve"> </w:t>
      </w:r>
      <w:r w:rsidRPr="00B50BE2">
        <w:t>must document the exception through a letter certified by the chief local official.</w:t>
      </w:r>
      <w:r w:rsidR="00F54DE1">
        <w:rPr>
          <w:rStyle w:val="FootnoteReference"/>
        </w:rPr>
        <w:footnoteReference w:id="6"/>
      </w:r>
    </w:p>
    <w:p w14:paraId="27B122F2" w14:textId="77777777" w:rsidR="000C6B4E" w:rsidRPr="00B50BE2" w:rsidRDefault="000C6B4E" w:rsidP="009333F8">
      <w:pPr>
        <w:tabs>
          <w:tab w:val="left" w:pos="0"/>
        </w:tabs>
        <w:autoSpaceDE w:val="0"/>
        <w:autoSpaceDN w:val="0"/>
        <w:adjustRightInd w:val="0"/>
        <w:rPr>
          <w:rFonts w:cs="Arial"/>
          <w:szCs w:val="22"/>
        </w:rPr>
      </w:pPr>
    </w:p>
    <w:p w14:paraId="519665D8" w14:textId="77777777" w:rsidR="000C6B4E" w:rsidRPr="00B50BE2" w:rsidRDefault="000C6B4E" w:rsidP="009333F8">
      <w:pPr>
        <w:pStyle w:val="Arial11BOLD"/>
      </w:pPr>
      <w:r w:rsidRPr="00B50BE2">
        <w:t xml:space="preserve">Testing </w:t>
      </w:r>
      <w:r>
        <w:t>S</w:t>
      </w:r>
      <w:r w:rsidRPr="00B50BE2">
        <w:t>ervices</w:t>
      </w:r>
    </w:p>
    <w:p w14:paraId="490FA8E8" w14:textId="77777777" w:rsidR="00F54DE1" w:rsidRDefault="000C6B4E" w:rsidP="005F4682">
      <w:pPr>
        <w:pStyle w:val="BULLETS"/>
        <w:numPr>
          <w:ilvl w:val="0"/>
          <w:numId w:val="33"/>
        </w:numPr>
        <w:spacing w:line="240" w:lineRule="auto"/>
      </w:pPr>
      <w:r w:rsidRPr="00B50BE2">
        <w:t xml:space="preserve">The Grant </w:t>
      </w:r>
      <w:r>
        <w:t>Recipient</w:t>
      </w:r>
      <w:r w:rsidRPr="0028082C">
        <w:t xml:space="preserve"> </w:t>
      </w:r>
      <w:r w:rsidRPr="00B50BE2">
        <w:t xml:space="preserve">shall determine whether the testing is a component of construction or a </w:t>
      </w:r>
      <w:r>
        <w:t>non-construction/</w:t>
      </w:r>
      <w:r w:rsidRPr="00B50BE2">
        <w:t xml:space="preserve">professional service, and then </w:t>
      </w:r>
      <w:r>
        <w:t>must</w:t>
      </w:r>
      <w:r w:rsidRPr="00B50BE2">
        <w:t xml:space="preserve"> be consistent with that decision in procurement and requests for reimbursement. </w:t>
      </w:r>
    </w:p>
    <w:p w14:paraId="11CDF7B2" w14:textId="5C96BEFE" w:rsidR="000C6B4E" w:rsidRPr="00B50BE2" w:rsidRDefault="000C6B4E" w:rsidP="009333F8">
      <w:pPr>
        <w:pStyle w:val="BULLETS"/>
        <w:numPr>
          <w:ilvl w:val="0"/>
          <w:numId w:val="0"/>
        </w:numPr>
        <w:spacing w:line="240" w:lineRule="auto"/>
        <w:ind w:left="720"/>
      </w:pPr>
      <w:r w:rsidRPr="004E1433">
        <w:rPr>
          <w:b/>
          <w:bCs/>
        </w:rPr>
        <w:t>EXAMPLE:</w:t>
      </w:r>
      <w:r>
        <w:t xml:space="preserve"> Drilling</w:t>
      </w:r>
      <w:r w:rsidRPr="003C7114">
        <w:t xml:space="preserve"> a test well </w:t>
      </w:r>
      <w:r w:rsidRPr="003C7114">
        <w:rPr>
          <w:bCs/>
        </w:rPr>
        <w:t>can be</w:t>
      </w:r>
      <w:r w:rsidRPr="003C7114">
        <w:t xml:space="preserve"> considered either a </w:t>
      </w:r>
      <w:r w:rsidRPr="003C7114">
        <w:rPr>
          <w:bCs/>
        </w:rPr>
        <w:t>component of</w:t>
      </w:r>
      <w:r w:rsidRPr="003C7114">
        <w:t xml:space="preserve"> construction </w:t>
      </w:r>
      <w:r w:rsidRPr="003C7114">
        <w:rPr>
          <w:bCs/>
        </w:rPr>
        <w:t>or a professional service</w:t>
      </w:r>
      <w:r>
        <w:rPr>
          <w:bCs/>
        </w:rPr>
        <w:t>; however, if the test well is procured as an engineering contract (or subcontract), all payment requests must be charged to the engineering line item</w:t>
      </w:r>
      <w:r w:rsidRPr="003C7114">
        <w:t xml:space="preserve">. </w:t>
      </w:r>
      <w:r w:rsidRPr="003C7114">
        <w:rPr>
          <w:bCs/>
        </w:rPr>
        <w:t xml:space="preserve">To determine if </w:t>
      </w:r>
      <w:r w:rsidR="00F8604A">
        <w:rPr>
          <w:bCs/>
        </w:rPr>
        <w:t xml:space="preserve">the </w:t>
      </w:r>
      <w:r w:rsidRPr="003C7114">
        <w:rPr>
          <w:bCs/>
        </w:rPr>
        <w:t xml:space="preserve">Davis-Bacon </w:t>
      </w:r>
      <w:r>
        <w:rPr>
          <w:bCs/>
        </w:rPr>
        <w:t xml:space="preserve">Act </w:t>
      </w:r>
      <w:r w:rsidRPr="003C7114">
        <w:rPr>
          <w:bCs/>
        </w:rPr>
        <w:t>applies to a test well,</w:t>
      </w:r>
      <w:r w:rsidRPr="003C7114">
        <w:t xml:space="preserve"> please refer to </w:t>
      </w:r>
      <w:r>
        <w:t>the U.S. Department of Labor (</w:t>
      </w:r>
      <w:r w:rsidRPr="003C7114">
        <w:t>DOL</w:t>
      </w:r>
      <w:r>
        <w:t>)</w:t>
      </w:r>
      <w:r w:rsidRPr="003C7114">
        <w:t xml:space="preserve"> Field Operations handbook, 15d05, for additional guidance</w:t>
      </w:r>
      <w:r w:rsidRPr="00B50BE2">
        <w:t>.</w:t>
      </w:r>
    </w:p>
    <w:p w14:paraId="25A4348B" w14:textId="5D0DD60D" w:rsidR="000C6B4E" w:rsidRDefault="000C6B4E" w:rsidP="005F4682">
      <w:pPr>
        <w:pStyle w:val="BULLETS"/>
        <w:numPr>
          <w:ilvl w:val="0"/>
          <w:numId w:val="33"/>
        </w:numPr>
        <w:spacing w:line="240" w:lineRule="auto"/>
      </w:pPr>
      <w:r w:rsidRPr="00FB1F92">
        <w:t>T</w:t>
      </w:r>
      <w:r w:rsidRPr="00893E09">
        <w:t xml:space="preserve">esting </w:t>
      </w:r>
      <w:r>
        <w:t>s</w:t>
      </w:r>
      <w:r w:rsidRPr="00FB1F92">
        <w:t>ervices</w:t>
      </w:r>
      <w:r>
        <w:t>,</w:t>
      </w:r>
      <w:r w:rsidRPr="00FB1F92">
        <w:t xml:space="preserve"> which require professional services</w:t>
      </w:r>
      <w:r>
        <w:t>,</w:t>
      </w:r>
      <w:r w:rsidRPr="00FB1F92">
        <w:t xml:space="preserve"> must comply with the </w:t>
      </w:r>
      <w:r w:rsidRPr="00893E09">
        <w:t>State of Texas’ Professional Services Procurement Act</w:t>
      </w:r>
      <w:r>
        <w:t>.</w:t>
      </w:r>
      <w:r w:rsidR="00F54DE1">
        <w:rPr>
          <w:rStyle w:val="FootnoteReference"/>
        </w:rPr>
        <w:footnoteReference w:id="7"/>
      </w:r>
    </w:p>
    <w:p w14:paraId="278079E9" w14:textId="76DF60D1" w:rsidR="000C6B4E" w:rsidRDefault="000C6B4E" w:rsidP="005F4682">
      <w:pPr>
        <w:pStyle w:val="BULLETS"/>
        <w:numPr>
          <w:ilvl w:val="0"/>
          <w:numId w:val="33"/>
        </w:numPr>
        <w:spacing w:line="240" w:lineRule="auto"/>
      </w:pPr>
      <w:r>
        <w:t>Other services necessary to complete the TxCDBG</w:t>
      </w:r>
      <w:r w:rsidR="00F54DE1">
        <w:t xml:space="preserve"> </w:t>
      </w:r>
      <w:r>
        <w:t xml:space="preserve">funded project may be requested for approval by completing the </w:t>
      </w:r>
      <w:r w:rsidR="00F54DE1">
        <w:t>S</w:t>
      </w:r>
      <w:r>
        <w:t xml:space="preserve">pecial </w:t>
      </w:r>
      <w:r w:rsidR="00F54DE1">
        <w:t>R</w:t>
      </w:r>
      <w:r>
        <w:t xml:space="preserve">equests section of the TDA-GO </w:t>
      </w:r>
      <w:r w:rsidR="002C7A9B" w:rsidRPr="0090789D">
        <w:rPr>
          <w:i/>
          <w:iCs/>
        </w:rPr>
        <w:t>G</w:t>
      </w:r>
      <w:r w:rsidRPr="0090789D">
        <w:rPr>
          <w:i/>
          <w:iCs/>
        </w:rPr>
        <w:t xml:space="preserve">rant </w:t>
      </w:r>
      <w:r w:rsidR="002C7A9B" w:rsidRPr="0090789D">
        <w:rPr>
          <w:i/>
          <w:iCs/>
        </w:rPr>
        <w:t>O</w:t>
      </w:r>
      <w:r w:rsidRPr="0090789D">
        <w:rPr>
          <w:i/>
          <w:iCs/>
        </w:rPr>
        <w:t>verview</w:t>
      </w:r>
      <w:r>
        <w:t xml:space="preserve"> page.</w:t>
      </w:r>
    </w:p>
    <w:p w14:paraId="06D1A914" w14:textId="77777777" w:rsidR="000C6B4E" w:rsidRDefault="000C6B4E" w:rsidP="009333F8">
      <w:pPr>
        <w:ind w:right="36"/>
        <w:jc w:val="both"/>
        <w:rPr>
          <w:rFonts w:cs="Arial"/>
          <w:b/>
          <w:u w:val="single"/>
        </w:rPr>
      </w:pPr>
      <w:bookmarkStart w:id="17" w:name="OLE_LINK1"/>
      <w:bookmarkStart w:id="18" w:name="OLE_LINK2"/>
    </w:p>
    <w:p w14:paraId="3450180B" w14:textId="77777777" w:rsidR="000C6B4E" w:rsidRPr="005A4FAD" w:rsidRDefault="000C6B4E" w:rsidP="009333F8">
      <w:pPr>
        <w:pStyle w:val="ACDBGBODYArial11"/>
        <w:spacing w:line="240" w:lineRule="auto"/>
        <w:rPr>
          <w:b/>
          <w:bCs/>
          <w:lang w:val="en-US"/>
        </w:rPr>
      </w:pPr>
      <w:r w:rsidRPr="005A4FAD">
        <w:rPr>
          <w:b/>
          <w:bCs/>
          <w:lang w:val="en-US"/>
        </w:rPr>
        <w:t>Administrator Training Certification</w:t>
      </w:r>
    </w:p>
    <w:p w14:paraId="7FB7252D" w14:textId="4B81E255" w:rsidR="000C6B4E" w:rsidRPr="005A4FAD" w:rsidRDefault="00004A6A" w:rsidP="009333F8">
      <w:pPr>
        <w:pStyle w:val="ACDBGBODYArial11"/>
        <w:spacing w:line="240" w:lineRule="auto"/>
      </w:pPr>
      <w:r>
        <w:rPr>
          <w:lang w:val="en-US"/>
        </w:rPr>
        <w:t>Administrators</w:t>
      </w:r>
      <w:r w:rsidRPr="005A4FAD">
        <w:t xml:space="preserve"> </w:t>
      </w:r>
      <w:r w:rsidR="000C6B4E">
        <w:rPr>
          <w:lang w:val="en-US"/>
        </w:rPr>
        <w:t>must be</w:t>
      </w:r>
      <w:r w:rsidR="000C6B4E" w:rsidRPr="005A4FAD">
        <w:t xml:space="preserve"> certified annually by TDA to be eligible to be paid from TxCDBG grant funds or match</w:t>
      </w:r>
      <w:r w:rsidR="000C6B4E" w:rsidRPr="005A4FAD">
        <w:rPr>
          <w:lang w:val="en-US"/>
        </w:rPr>
        <w:t xml:space="preserve"> funds.</w:t>
      </w:r>
      <w:r w:rsidR="000C6B4E">
        <w:rPr>
          <w:lang w:val="en-US"/>
        </w:rPr>
        <w:t xml:space="preserve"> </w:t>
      </w:r>
      <w:r w:rsidR="000C6B4E" w:rsidRPr="005A4FAD">
        <w:rPr>
          <w:lang w:val="en-US"/>
        </w:rPr>
        <w:t xml:space="preserve">See </w:t>
      </w:r>
      <w:hyperlink r:id="rId14" w:history="1">
        <w:r w:rsidR="000C6B4E" w:rsidRPr="00AC01FE">
          <w:rPr>
            <w:rStyle w:val="Hyperlink"/>
            <w:lang w:val="en-US"/>
          </w:rPr>
          <w:t>TDA’s website</w:t>
        </w:r>
      </w:hyperlink>
      <w:r w:rsidR="000C6B4E" w:rsidRPr="005A4FAD">
        <w:rPr>
          <w:lang w:val="en-US"/>
        </w:rPr>
        <w:t xml:space="preserve"> for current certification procedures</w:t>
      </w:r>
      <w:r w:rsidR="00F54DE1">
        <w:rPr>
          <w:lang w:val="en-US"/>
        </w:rPr>
        <w:t xml:space="preserve">, </w:t>
      </w:r>
      <w:r w:rsidR="000C6B4E" w:rsidRPr="005A4FAD">
        <w:rPr>
          <w:lang w:val="en-US"/>
        </w:rPr>
        <w:t>which may include attending training, completion of a certification exam, or both</w:t>
      </w:r>
      <w:r w:rsidR="000C6B4E" w:rsidRPr="005A4FAD">
        <w:t xml:space="preserve">. </w:t>
      </w:r>
    </w:p>
    <w:p w14:paraId="301A1E9E" w14:textId="77777777" w:rsidR="000C6B4E" w:rsidRPr="005A4FAD" w:rsidRDefault="000C6B4E" w:rsidP="009333F8">
      <w:pPr>
        <w:pStyle w:val="ACDBGBODYArial11"/>
        <w:spacing w:line="240" w:lineRule="auto"/>
      </w:pPr>
    </w:p>
    <w:p w14:paraId="75156332" w14:textId="112484D6" w:rsidR="000C6B4E" w:rsidRDefault="000C6B4E" w:rsidP="009333F8">
      <w:pPr>
        <w:pStyle w:val="ACDBGBODYArial11"/>
        <w:spacing w:line="240" w:lineRule="auto"/>
        <w:rPr>
          <w:lang w:val="en-US"/>
        </w:rPr>
      </w:pPr>
      <w:r w:rsidRPr="005A4FAD">
        <w:rPr>
          <w:lang w:val="en-US"/>
        </w:rPr>
        <w:t>E</w:t>
      </w:r>
      <w:r w:rsidRPr="005A4FAD">
        <w:t xml:space="preserve">ach person within a firm who will </w:t>
      </w:r>
      <w:r w:rsidRPr="005A4FAD">
        <w:rPr>
          <w:lang w:val="en-US"/>
        </w:rPr>
        <w:t xml:space="preserve">be primarily responsible for administration or serve as the administrative point of contact for </w:t>
      </w:r>
      <w:r w:rsidRPr="005A4FAD">
        <w:t xml:space="preserve">a TxCDBG </w:t>
      </w:r>
      <w:r w:rsidR="00446814">
        <w:t>Grant Agreement</w:t>
      </w:r>
      <w:r w:rsidR="00F54DE1">
        <w:rPr>
          <w:lang w:val="en-US"/>
        </w:rPr>
        <w:t xml:space="preserve"> </w:t>
      </w:r>
      <w:r w:rsidRPr="005A4FAD">
        <w:t>must be certified</w:t>
      </w:r>
      <w:r w:rsidRPr="005A4FAD">
        <w:rPr>
          <w:lang w:val="en-US"/>
        </w:rPr>
        <w:t xml:space="preserve">. </w:t>
      </w:r>
      <w:r w:rsidRPr="005A4FAD">
        <w:t xml:space="preserve">Grant </w:t>
      </w:r>
      <w:r w:rsidRPr="005A4FAD">
        <w:rPr>
          <w:lang w:val="en-US"/>
        </w:rPr>
        <w:t>Recipient</w:t>
      </w:r>
      <w:r w:rsidRPr="005A4FAD">
        <w:t xml:space="preserve">s need to be aware that </w:t>
      </w:r>
      <w:r w:rsidR="00004A6A">
        <w:t>administration</w:t>
      </w:r>
      <w:r w:rsidRPr="005A4FAD">
        <w:t xml:space="preserve"> costs will be </w:t>
      </w:r>
      <w:r w:rsidR="00A83511">
        <w:rPr>
          <w:lang w:val="en-US"/>
        </w:rPr>
        <w:t xml:space="preserve">delayed or </w:t>
      </w:r>
      <w:r w:rsidRPr="005A4FAD">
        <w:t xml:space="preserve">disallowed if the </w:t>
      </w:r>
      <w:r w:rsidRPr="005A4FAD">
        <w:rPr>
          <w:lang w:val="en-US"/>
        </w:rPr>
        <w:t xml:space="preserve">selected </w:t>
      </w:r>
      <w:r w:rsidRPr="005A4FAD">
        <w:t>administrator has not received such annual certification.</w:t>
      </w:r>
      <w:r w:rsidR="00F54DE1">
        <w:rPr>
          <w:rStyle w:val="FootnoteReference"/>
        </w:rPr>
        <w:footnoteReference w:id="8"/>
      </w:r>
      <w:r>
        <w:rPr>
          <w:lang w:val="en-US"/>
        </w:rPr>
        <w:t xml:space="preserve"> </w:t>
      </w:r>
    </w:p>
    <w:p w14:paraId="5ABD7624" w14:textId="77777777" w:rsidR="0066555C" w:rsidRDefault="0066555C" w:rsidP="009333F8">
      <w:pPr>
        <w:pStyle w:val="ACDBGBODYArial11"/>
        <w:spacing w:line="240" w:lineRule="auto"/>
        <w:rPr>
          <w:lang w:val="en-US"/>
        </w:rPr>
      </w:pPr>
    </w:p>
    <w:p w14:paraId="37FD9419" w14:textId="1F8BA925" w:rsidR="003D4D0C" w:rsidRDefault="0066555C" w:rsidP="009333F8">
      <w:pPr>
        <w:ind w:right="36"/>
        <w:jc w:val="both"/>
        <w:rPr>
          <w:rFonts w:cs="Arial"/>
          <w:color w:val="2F5496" w:themeColor="accent1" w:themeShade="BF"/>
          <w:szCs w:val="22"/>
          <w:lang w:eastAsia="x-none"/>
        </w:rPr>
      </w:pPr>
      <w:r w:rsidRPr="00604F44">
        <w:rPr>
          <w:color w:val="2F5496" w:themeColor="accent1" w:themeShade="BF"/>
        </w:rPr>
        <w:t xml:space="preserve">Grant Recipients are </w:t>
      </w:r>
      <w:r w:rsidR="008458BA" w:rsidRPr="00604F44">
        <w:rPr>
          <w:color w:val="2F5496" w:themeColor="accent1" w:themeShade="BF"/>
        </w:rPr>
        <w:t xml:space="preserve">ultimately </w:t>
      </w:r>
      <w:r w:rsidRPr="00604F44">
        <w:rPr>
          <w:color w:val="2F5496" w:themeColor="accent1" w:themeShade="BF"/>
        </w:rPr>
        <w:t>responsible for the successful administration of the TxCDBG Grant Agreement</w:t>
      </w:r>
      <w:r w:rsidR="008458BA" w:rsidRPr="00604F44">
        <w:rPr>
          <w:color w:val="2F5496" w:themeColor="accent1" w:themeShade="BF"/>
        </w:rPr>
        <w:t xml:space="preserve"> </w:t>
      </w:r>
      <w:r w:rsidR="00F13664" w:rsidRPr="00604F44">
        <w:rPr>
          <w:color w:val="2F5496" w:themeColor="accent1" w:themeShade="BF"/>
        </w:rPr>
        <w:t>awarded</w:t>
      </w:r>
      <w:r w:rsidRPr="00604F44">
        <w:rPr>
          <w:color w:val="2F5496" w:themeColor="accent1" w:themeShade="BF"/>
        </w:rPr>
        <w:t>. However,</w:t>
      </w:r>
      <w:r w:rsidR="00F13664" w:rsidRPr="00604F44">
        <w:rPr>
          <w:color w:val="2F5496" w:themeColor="accent1" w:themeShade="BF"/>
        </w:rPr>
        <w:t xml:space="preserve"> should an administrator/firm have a documented record of performance deficiencies resulting in a series of non-compliance findings and/or concerns, TDA may require</w:t>
      </w:r>
      <w:r w:rsidR="005379D7" w:rsidRPr="00604F44">
        <w:rPr>
          <w:color w:val="2F5496" w:themeColor="accent1" w:themeShade="BF"/>
        </w:rPr>
        <w:t xml:space="preserve"> </w:t>
      </w:r>
      <w:r w:rsidR="00F13664" w:rsidRPr="00604F44">
        <w:rPr>
          <w:color w:val="2F5496" w:themeColor="accent1" w:themeShade="BF"/>
        </w:rPr>
        <w:t>said person or firm</w:t>
      </w:r>
      <w:r w:rsidR="00C667EB" w:rsidRPr="00604F44">
        <w:rPr>
          <w:color w:val="2F5496" w:themeColor="accent1" w:themeShade="BF"/>
        </w:rPr>
        <w:t xml:space="preserve"> </w:t>
      </w:r>
      <w:r w:rsidR="00F13664" w:rsidRPr="00604F44">
        <w:rPr>
          <w:color w:val="2F5496" w:themeColor="accent1" w:themeShade="BF"/>
        </w:rPr>
        <w:t>to develop a personal written corrective action plan (CAP). The administrator/firm may be penalized as deemed allowable by program rules, regulation, policies, agreement provisions, and law.</w:t>
      </w:r>
      <w:r w:rsidR="00635FBF" w:rsidRPr="00604F44">
        <w:rPr>
          <w:rStyle w:val="FootnoteReference"/>
          <w:color w:val="2F5496" w:themeColor="accent1" w:themeShade="BF"/>
        </w:rPr>
        <w:footnoteReference w:id="9"/>
      </w:r>
    </w:p>
    <w:p w14:paraId="5C9DE689" w14:textId="77777777" w:rsidR="00604F44" w:rsidRPr="005A4FAD" w:rsidRDefault="00604F44" w:rsidP="009333F8">
      <w:pPr>
        <w:ind w:right="36"/>
        <w:jc w:val="both"/>
        <w:rPr>
          <w:rFonts w:cs="Arial"/>
          <w:b/>
          <w:u w:val="single"/>
        </w:rPr>
      </w:pPr>
    </w:p>
    <w:p w14:paraId="0DF4ED6C" w14:textId="77777777" w:rsidR="000C6B4E" w:rsidRPr="00F65A40" w:rsidRDefault="000C6B4E" w:rsidP="009333F8">
      <w:pPr>
        <w:pStyle w:val="Arial11BOLD"/>
      </w:pPr>
      <w:r w:rsidRPr="00F65A40">
        <w:t xml:space="preserve">Non-Construction Services to Prepare Grant Applications </w:t>
      </w:r>
    </w:p>
    <w:p w14:paraId="08450AA0" w14:textId="7DA52C51" w:rsidR="000C6B4E" w:rsidRPr="005C2432" w:rsidRDefault="000C6B4E" w:rsidP="009333F8">
      <w:pPr>
        <w:pStyle w:val="ACDBGBODYArial11"/>
        <w:spacing w:line="240" w:lineRule="auto"/>
      </w:pPr>
      <w:r w:rsidRPr="005C2432">
        <w:t xml:space="preserve">If a provider intends to provide administration, planning, engineering, or similar services for a TxCDBG </w:t>
      </w:r>
      <w:r w:rsidR="00446814">
        <w:t>Grant Agreement</w:t>
      </w:r>
      <w:r w:rsidRPr="005C2432">
        <w:t xml:space="preserve">, if funded, the provider must not have any involvement in preparation of the application for grant funds until after formal award of a services contract for project implementation services. If a Grant Administrator has been involved with discussions or decisions regarding a grant application prior to the procurement process for </w:t>
      </w:r>
      <w:r w:rsidR="00004A6A">
        <w:t>administration</w:t>
      </w:r>
      <w:r w:rsidRPr="005C2432">
        <w:t xml:space="preserve"> services, that firm may not be selected as the Grant Administrator.</w:t>
      </w:r>
    </w:p>
    <w:p w14:paraId="262212F1" w14:textId="77777777" w:rsidR="00006C59" w:rsidRDefault="000C6B4E" w:rsidP="005F4682">
      <w:pPr>
        <w:pStyle w:val="BULLETS"/>
        <w:numPr>
          <w:ilvl w:val="0"/>
          <w:numId w:val="32"/>
        </w:numPr>
        <w:spacing w:line="240" w:lineRule="auto"/>
      </w:pPr>
      <w:r w:rsidRPr="00244ADC">
        <w:t xml:space="preserve">If </w:t>
      </w:r>
      <w:r>
        <w:t>the community</w:t>
      </w:r>
      <w:r w:rsidRPr="00244ADC">
        <w:t xml:space="preserve"> chooses to execute the contract(s) </w:t>
      </w:r>
      <w:r>
        <w:t>for administration, planning, engineering, or other non-construction services prior to submittal of the application</w:t>
      </w:r>
      <w:r w:rsidRPr="00244ADC">
        <w:t xml:space="preserve">, include language stating that payment for project implementation services </w:t>
      </w:r>
      <w:proofErr w:type="gramStart"/>
      <w:r>
        <w:t>are</w:t>
      </w:r>
      <w:proofErr w:type="gramEnd"/>
      <w:r w:rsidRPr="00244ADC">
        <w:t xml:space="preserve"> contingent on receipt of grant funds</w:t>
      </w:r>
      <w:r>
        <w:t xml:space="preserve">. </w:t>
      </w:r>
    </w:p>
    <w:p w14:paraId="5BB54D0D" w14:textId="69D4DCA8" w:rsidR="000C6B4E" w:rsidRPr="005A4FAD" w:rsidRDefault="000C6B4E" w:rsidP="009333F8">
      <w:pPr>
        <w:pStyle w:val="BULLETS"/>
        <w:numPr>
          <w:ilvl w:val="0"/>
          <w:numId w:val="0"/>
        </w:numPr>
        <w:spacing w:line="240" w:lineRule="auto"/>
        <w:ind w:left="720"/>
      </w:pPr>
      <w:r w:rsidRPr="005A4FAD">
        <w:rPr>
          <w:b/>
          <w:bCs/>
        </w:rPr>
        <w:t>EXAMPLE:</w:t>
      </w:r>
      <w:r>
        <w:t xml:space="preserve"> </w:t>
      </w:r>
      <w:r w:rsidRPr="005A4FAD">
        <w:t xml:space="preserve">Payment of the fees associated with Part III – Payment Schedule of this Agreement shall be contingent upon TxCDBG funding. </w:t>
      </w:r>
      <w:proofErr w:type="gramStart"/>
      <w:r w:rsidRPr="005A4FAD">
        <w:t>In the event that</w:t>
      </w:r>
      <w:proofErr w:type="gramEnd"/>
      <w:r w:rsidRPr="005A4FAD">
        <w:t xml:space="preserve"> grant funds are not awarded to the </w:t>
      </w:r>
      <w:r>
        <w:t>c</w:t>
      </w:r>
      <w:r w:rsidRPr="005A4FAD">
        <w:t>ity/</w:t>
      </w:r>
      <w:r>
        <w:t>c</w:t>
      </w:r>
      <w:r w:rsidRPr="005A4FAD">
        <w:t xml:space="preserve">ounty by TDA through the TxCDBG program, this agreement shall be terminated by the </w:t>
      </w:r>
      <w:r>
        <w:t>c</w:t>
      </w:r>
      <w:r w:rsidRPr="005A4FAD">
        <w:t>ity/</w:t>
      </w:r>
      <w:r>
        <w:t>c</w:t>
      </w:r>
      <w:r w:rsidRPr="005A4FAD">
        <w:t>ounty.</w:t>
      </w:r>
    </w:p>
    <w:p w14:paraId="5559DD03" w14:textId="77777777" w:rsidR="000C6B4E" w:rsidRDefault="000C6B4E" w:rsidP="005F4682">
      <w:pPr>
        <w:pStyle w:val="BULLETS"/>
        <w:numPr>
          <w:ilvl w:val="0"/>
          <w:numId w:val="32"/>
        </w:numPr>
        <w:spacing w:line="240" w:lineRule="auto"/>
      </w:pPr>
      <w:r w:rsidRPr="00244ADC">
        <w:t xml:space="preserve">The </w:t>
      </w:r>
      <w:r>
        <w:t>community</w:t>
      </w:r>
      <w:r w:rsidRPr="00244ADC">
        <w:t xml:space="preserve"> may also choose not to execute the contract(s) for project implementation services prior to funding</w:t>
      </w:r>
      <w:r>
        <w:t>;</w:t>
      </w:r>
      <w:r w:rsidRPr="00244ADC">
        <w:t xml:space="preserve"> however, the award of the contract must be reflected in the minutes of the governing body.</w:t>
      </w:r>
    </w:p>
    <w:p w14:paraId="7380AE81" w14:textId="77777777" w:rsidR="000C6B4E" w:rsidRPr="00244ADC" w:rsidRDefault="000C6B4E" w:rsidP="005F4682">
      <w:pPr>
        <w:pStyle w:val="BULLETS"/>
        <w:numPr>
          <w:ilvl w:val="0"/>
          <w:numId w:val="32"/>
        </w:numPr>
        <w:spacing w:line="240" w:lineRule="auto"/>
      </w:pPr>
      <w:r>
        <w:t>A non-construction services contract must include only one TxCDBG-funded project unless explicitly approved by TDA in writing. TxCDBG grants are intended to fund stand-alone projects as described in the respective Performance Statement. Separate services contracts are appropriate to ensure all requirements for each grant are satisfied and to ensure that costs are charged to the appropriate grant.</w:t>
      </w:r>
    </w:p>
    <w:p w14:paraId="2AB372B7" w14:textId="77777777" w:rsidR="000C6B4E" w:rsidRDefault="000C6B4E" w:rsidP="009333F8"/>
    <w:p w14:paraId="4144A707" w14:textId="77777777" w:rsidR="000C6B4E" w:rsidRDefault="000C6B4E" w:rsidP="009333F8"/>
    <w:p w14:paraId="01C89B80" w14:textId="77777777" w:rsidR="000C6B4E" w:rsidRPr="007A45BF" w:rsidRDefault="000C6B4E" w:rsidP="007A45BF">
      <w:pPr>
        <w:pStyle w:val="Heading2"/>
      </w:pPr>
      <w:bookmarkStart w:id="19" w:name="_Toc123110898"/>
      <w:bookmarkStart w:id="20" w:name="_Toc171786596"/>
      <w:bookmarkStart w:id="21" w:name="_Toc171786694"/>
      <w:r w:rsidRPr="007A45BF">
        <w:t>5.2.2 Step-By-Step Selection – Pre-Qualified Provider Method</w:t>
      </w:r>
      <w:bookmarkEnd w:id="19"/>
      <w:bookmarkEnd w:id="20"/>
      <w:bookmarkEnd w:id="21"/>
      <w:r w:rsidRPr="007A45BF">
        <w:t xml:space="preserve"> </w:t>
      </w:r>
    </w:p>
    <w:p w14:paraId="08023CD1" w14:textId="77777777" w:rsidR="000C6B4E" w:rsidRDefault="000C6B4E" w:rsidP="009333F8">
      <w:pPr>
        <w:pStyle w:val="ACDBGBODYArial11"/>
        <w:spacing w:line="240" w:lineRule="auto"/>
        <w:rPr>
          <w:lang w:val="en-US"/>
        </w:rPr>
      </w:pPr>
    </w:p>
    <w:p w14:paraId="1EDB2AA7" w14:textId="174A3013" w:rsidR="009855EA" w:rsidRDefault="00C72AAB" w:rsidP="009333F8">
      <w:pPr>
        <w:pStyle w:val="ACDBGBODYArial11"/>
        <w:spacing w:line="240" w:lineRule="auto"/>
        <w:rPr>
          <w:lang w:val="en-US"/>
        </w:rPr>
      </w:pPr>
      <w:r w:rsidRPr="00057E28">
        <w:rPr>
          <w:lang w:val="en-US"/>
        </w:rPr>
        <w:t xml:space="preserve">The Pre-Qualified Provider Method </w:t>
      </w:r>
      <w:r w:rsidR="005428DB">
        <w:rPr>
          <w:lang w:val="en-US"/>
        </w:rPr>
        <w:t xml:space="preserve">was </w:t>
      </w:r>
      <w:r w:rsidRPr="00057E28">
        <w:rPr>
          <w:lang w:val="en-US"/>
        </w:rPr>
        <w:t>discontinued effective September 1, 2023.  TDA no longer solicit</w:t>
      </w:r>
      <w:r w:rsidR="005428DB">
        <w:rPr>
          <w:lang w:val="en-US"/>
        </w:rPr>
        <w:t>s</w:t>
      </w:r>
      <w:r w:rsidRPr="00057E28">
        <w:rPr>
          <w:lang w:val="en-US"/>
        </w:rPr>
        <w:t xml:space="preserve"> or post</w:t>
      </w:r>
      <w:r w:rsidR="005428DB">
        <w:rPr>
          <w:lang w:val="en-US"/>
        </w:rPr>
        <w:t>s</w:t>
      </w:r>
      <w:r w:rsidRPr="00057E28">
        <w:rPr>
          <w:lang w:val="en-US"/>
        </w:rPr>
        <w:t xml:space="preserve"> administrator and planner qualifications as part of a formal procurement process.  </w:t>
      </w:r>
    </w:p>
    <w:p w14:paraId="5BA79798" w14:textId="77777777" w:rsidR="009855EA" w:rsidRDefault="009855EA" w:rsidP="009333F8">
      <w:pPr>
        <w:pStyle w:val="ACDBGBODYArial11"/>
        <w:spacing w:line="240" w:lineRule="auto"/>
        <w:rPr>
          <w:lang w:val="en-US"/>
        </w:rPr>
      </w:pPr>
    </w:p>
    <w:p w14:paraId="0B051DA6" w14:textId="0F5ED3B4" w:rsidR="00C72AAB" w:rsidRPr="00057E28" w:rsidRDefault="00C72AAB" w:rsidP="009333F8">
      <w:pPr>
        <w:pStyle w:val="ACDBGBODYArial11"/>
        <w:spacing w:line="240" w:lineRule="auto"/>
        <w:rPr>
          <w:lang w:val="en-US"/>
        </w:rPr>
      </w:pPr>
      <w:r w:rsidRPr="00057E28">
        <w:rPr>
          <w:lang w:val="en-US"/>
        </w:rPr>
        <w:t xml:space="preserve">TDA </w:t>
      </w:r>
      <w:r w:rsidR="009855EA">
        <w:rPr>
          <w:lang w:val="en-US"/>
        </w:rPr>
        <w:t xml:space="preserve">website </w:t>
      </w:r>
      <w:r w:rsidR="00604F44">
        <w:rPr>
          <w:lang w:val="en-US"/>
        </w:rPr>
        <w:t>makes</w:t>
      </w:r>
      <w:r w:rsidR="009855EA">
        <w:rPr>
          <w:lang w:val="en-US"/>
        </w:rPr>
        <w:t xml:space="preserve"> </w:t>
      </w:r>
      <w:r w:rsidRPr="00057E28">
        <w:rPr>
          <w:lang w:val="en-US"/>
        </w:rPr>
        <w:t>available the contact information of individuals and firms that have requested to be included as interested service providers.</w:t>
      </w:r>
      <w:r w:rsidR="00404678">
        <w:rPr>
          <w:lang w:val="en-US"/>
        </w:rPr>
        <w:t xml:space="preserve"> </w:t>
      </w:r>
      <w:r w:rsidR="00404678" w:rsidRPr="00604F44">
        <w:rPr>
          <w:color w:val="2F5496" w:themeColor="accent1" w:themeShade="BF"/>
          <w:lang w:val="en-US"/>
        </w:rPr>
        <w:t xml:space="preserve">The list is provided as a </w:t>
      </w:r>
      <w:r w:rsidR="004F0463" w:rsidRPr="00604F44">
        <w:rPr>
          <w:color w:val="2F5496" w:themeColor="accent1" w:themeShade="BF"/>
          <w:lang w:val="en-US"/>
        </w:rPr>
        <w:t xml:space="preserve">courtesy </w:t>
      </w:r>
      <w:r w:rsidR="00404678" w:rsidRPr="00604F44">
        <w:rPr>
          <w:color w:val="2F5496" w:themeColor="accent1" w:themeShade="BF"/>
          <w:lang w:val="en-US"/>
        </w:rPr>
        <w:t>only does not verify that individual(s) or firms(s) listed are a current certified administrator.</w:t>
      </w:r>
    </w:p>
    <w:p w14:paraId="258F97A5" w14:textId="77777777" w:rsidR="00C72AAB" w:rsidRPr="00057E28" w:rsidRDefault="00C72AAB" w:rsidP="009333F8">
      <w:pPr>
        <w:pStyle w:val="ACDBGBODYArial11"/>
        <w:spacing w:line="240" w:lineRule="auto"/>
        <w:rPr>
          <w:lang w:val="en-US"/>
        </w:rPr>
      </w:pPr>
    </w:p>
    <w:p w14:paraId="391FC887" w14:textId="77777777" w:rsidR="000C6B4E" w:rsidRDefault="000C6B4E" w:rsidP="009333F8">
      <w:pPr>
        <w:pStyle w:val="ACDBGBODYArial11"/>
        <w:spacing w:line="240" w:lineRule="auto"/>
        <w:ind w:left="720"/>
      </w:pPr>
    </w:p>
    <w:p w14:paraId="135CBA6A" w14:textId="77777777" w:rsidR="000C6B4E" w:rsidRDefault="000C6B4E" w:rsidP="009333F8">
      <w:pPr>
        <w:pStyle w:val="ACDBGBODYArial11"/>
        <w:spacing w:line="240" w:lineRule="auto"/>
        <w:ind w:left="720"/>
      </w:pPr>
    </w:p>
    <w:p w14:paraId="6768200A" w14:textId="77777777" w:rsidR="000C6B4E" w:rsidRPr="007C34B3" w:rsidRDefault="000C6B4E" w:rsidP="007C34B3">
      <w:pPr>
        <w:pStyle w:val="Heading2"/>
      </w:pPr>
      <w:bookmarkStart w:id="22" w:name="_Toc123110899"/>
      <w:bookmarkStart w:id="23" w:name="_Toc171786597"/>
      <w:bookmarkStart w:id="24" w:name="_Toc171786695"/>
      <w:r w:rsidRPr="007C34B3">
        <w:t>5.2.3 Step-by-Step Selection Procedures for Competitive Proposal (Traditional)</w:t>
      </w:r>
      <w:bookmarkEnd w:id="22"/>
      <w:bookmarkEnd w:id="23"/>
      <w:bookmarkEnd w:id="24"/>
    </w:p>
    <w:bookmarkEnd w:id="17"/>
    <w:bookmarkEnd w:id="18"/>
    <w:p w14:paraId="20A20DEE" w14:textId="77777777" w:rsidR="000C6B4E" w:rsidRPr="00244ADC" w:rsidRDefault="000C6B4E" w:rsidP="009333F8"/>
    <w:p w14:paraId="03FD2554" w14:textId="74C3CF29" w:rsidR="000C6B4E" w:rsidRPr="00AF42C5" w:rsidRDefault="00604F44" w:rsidP="009333F8">
      <w:pPr>
        <w:pStyle w:val="ACDBGBODYArial11"/>
        <w:spacing w:line="240" w:lineRule="auto"/>
        <w:rPr>
          <w:lang w:val="en-US"/>
        </w:rPr>
      </w:pPr>
      <w:r>
        <w:t>T</w:t>
      </w:r>
      <w:r w:rsidR="000C6B4E" w:rsidRPr="00996A34">
        <w:t xml:space="preserve">he Grant </w:t>
      </w:r>
      <w:r w:rsidR="000C6B4E">
        <w:rPr>
          <w:lang w:val="en-US"/>
        </w:rPr>
        <w:t>Recipient</w:t>
      </w:r>
      <w:r w:rsidR="000C6B4E" w:rsidRPr="00996A34">
        <w:t xml:space="preserve"> must use the full </w:t>
      </w:r>
      <w:r w:rsidR="00004A6A">
        <w:rPr>
          <w:lang w:val="en-US"/>
        </w:rPr>
        <w:t>traditional competitive proposal</w:t>
      </w:r>
      <w:r w:rsidR="000C6B4E" w:rsidRPr="00996A34">
        <w:t xml:space="preserve"> method</w:t>
      </w:r>
      <w:r>
        <w:t xml:space="preserve"> </w:t>
      </w:r>
      <w:r>
        <w:rPr>
          <w:lang w:val="en-US"/>
        </w:rPr>
        <w:t>f</w:t>
      </w:r>
      <w:r>
        <w:rPr>
          <w:lang w:val="en-US"/>
        </w:rPr>
        <w:t>or non-construction services</w:t>
      </w:r>
      <w:r w:rsidR="000C6B4E">
        <w:rPr>
          <w:lang w:val="en-US"/>
        </w:rPr>
        <w:t xml:space="preserve">. </w:t>
      </w:r>
    </w:p>
    <w:p w14:paraId="218DAE08" w14:textId="77777777" w:rsidR="000C6B4E" w:rsidRDefault="000C6B4E" w:rsidP="009333F8">
      <w:pPr>
        <w:ind w:right="36"/>
        <w:jc w:val="both"/>
        <w:rPr>
          <w:rFonts w:cs="Arial"/>
          <w:b/>
          <w:szCs w:val="22"/>
        </w:rPr>
      </w:pPr>
    </w:p>
    <w:p w14:paraId="535A2A51" w14:textId="77777777" w:rsidR="000C6B4E" w:rsidRPr="00E45B41" w:rsidRDefault="000C6B4E" w:rsidP="009333F8">
      <w:pPr>
        <w:ind w:left="2160" w:right="36" w:hanging="2160"/>
        <w:jc w:val="both"/>
        <w:rPr>
          <w:rFonts w:cs="Arial"/>
          <w:szCs w:val="22"/>
        </w:rPr>
      </w:pPr>
      <w:r>
        <w:rPr>
          <w:rFonts w:cs="Arial"/>
          <w:b/>
          <w:szCs w:val="22"/>
        </w:rPr>
        <w:t>Step</w:t>
      </w:r>
      <w:r w:rsidRPr="00E45B41">
        <w:rPr>
          <w:rFonts w:cs="Arial"/>
          <w:b/>
          <w:szCs w:val="22"/>
        </w:rPr>
        <w:t xml:space="preserve"> 1</w:t>
      </w:r>
      <w:r>
        <w:rPr>
          <w:rFonts w:cs="Arial"/>
          <w:b/>
          <w:szCs w:val="22"/>
        </w:rPr>
        <w:t xml:space="preserve">. </w:t>
      </w:r>
      <w:r w:rsidRPr="00E45B41">
        <w:rPr>
          <w:rFonts w:cs="Arial"/>
          <w:b/>
          <w:szCs w:val="22"/>
        </w:rPr>
        <w:t xml:space="preserve">Establish </w:t>
      </w:r>
      <w:r>
        <w:rPr>
          <w:rFonts w:cs="Arial"/>
          <w:b/>
          <w:szCs w:val="22"/>
        </w:rPr>
        <w:t>Selection</w:t>
      </w:r>
      <w:r w:rsidRPr="00E45B41">
        <w:rPr>
          <w:rFonts w:cs="Arial"/>
          <w:b/>
          <w:szCs w:val="22"/>
        </w:rPr>
        <w:t xml:space="preserve"> Committee</w:t>
      </w:r>
    </w:p>
    <w:p w14:paraId="45165538" w14:textId="7544C226" w:rsidR="000C6B4E" w:rsidRPr="00057E28" w:rsidRDefault="000C6B4E" w:rsidP="00D71DC7">
      <w:pPr>
        <w:pStyle w:val="ACDBGBODYArial11"/>
        <w:spacing w:line="240" w:lineRule="auto"/>
        <w:rPr>
          <w:lang w:val="en-US"/>
        </w:rPr>
      </w:pPr>
      <w:r w:rsidRPr="006C2B70">
        <w:t xml:space="preserve">The </w:t>
      </w:r>
      <w:proofErr w:type="spellStart"/>
      <w:r>
        <w:rPr>
          <w:lang w:val="en-US"/>
        </w:rPr>
        <w:t>s</w:t>
      </w:r>
      <w:r w:rsidRPr="006C2B70">
        <w:t>election</w:t>
      </w:r>
      <w:proofErr w:type="spellEnd"/>
      <w:r w:rsidRPr="006C2B70">
        <w:t xml:space="preserve"> </w:t>
      </w:r>
      <w:r w:rsidR="00004A6A">
        <w:rPr>
          <w:lang w:val="en-US"/>
        </w:rPr>
        <w:t>committee</w:t>
      </w:r>
      <w:r w:rsidR="00004A6A" w:rsidRPr="006C2B70">
        <w:t xml:space="preserve"> </w:t>
      </w:r>
      <w:r w:rsidRPr="006C2B70">
        <w:t>establishes the criteria or evaluation factors to be used for selection and rating of competing respondents</w:t>
      </w:r>
      <w:r w:rsidRPr="00966814">
        <w:t>. The committee must include at least one local elected official</w:t>
      </w:r>
      <w:r>
        <w:t xml:space="preserve"> </w:t>
      </w:r>
      <w:r w:rsidRPr="00966814">
        <w:t>or a city/county employee with authority to act on behalf of the local elected official in this capacity</w:t>
      </w:r>
      <w:r>
        <w:rPr>
          <w:lang w:val="en-US"/>
        </w:rPr>
        <w:t>—</w:t>
      </w:r>
      <w:r w:rsidRPr="008B3FFB">
        <w:t>such as the mayor, county judge, or a member of the elected governing body</w:t>
      </w:r>
      <w:r>
        <w:t xml:space="preserve">. </w:t>
      </w:r>
      <w:r w:rsidRPr="006C2B70">
        <w:t xml:space="preserve">The committee may consist of the entire local </w:t>
      </w:r>
      <w:r w:rsidRPr="00057E28">
        <w:t xml:space="preserve">governing body, a subset of the governing body, other officers or employees of the locality, or employees or officers of third-party public utilities served through the project. </w:t>
      </w:r>
    </w:p>
    <w:p w14:paraId="04D01F7D" w14:textId="77777777" w:rsidR="000C6B4E" w:rsidRPr="00057E28" w:rsidRDefault="000C6B4E" w:rsidP="00D71DC7">
      <w:pPr>
        <w:pStyle w:val="ACDBGBODYArial11"/>
        <w:spacing w:line="240" w:lineRule="auto"/>
      </w:pPr>
    </w:p>
    <w:p w14:paraId="3F549F3B" w14:textId="75A5EDA7" w:rsidR="000C6B4E" w:rsidRPr="00057E28" w:rsidRDefault="000C6B4E" w:rsidP="00D71DC7">
      <w:pPr>
        <w:pStyle w:val="ACDBGBODYArial11"/>
        <w:spacing w:line="240" w:lineRule="auto"/>
      </w:pPr>
      <w:r w:rsidRPr="00057E28">
        <w:t xml:space="preserve">The selection committee members </w:t>
      </w:r>
      <w:r w:rsidR="005428DB">
        <w:t xml:space="preserve">must </w:t>
      </w:r>
      <w:r w:rsidRPr="00057E28">
        <w:t>have no potential conflicts of interest with any of the individuals, firms, or agencies under review</w:t>
      </w:r>
      <w:r w:rsidRPr="00057E28">
        <w:rPr>
          <w:lang w:val="en-US"/>
        </w:rPr>
        <w:t xml:space="preserve">, </w:t>
      </w:r>
      <w:r w:rsidRPr="00057E28">
        <w:t>e.g.,</w:t>
      </w:r>
      <w:r w:rsidRPr="00057E28">
        <w:rPr>
          <w:lang w:val="en-US"/>
        </w:rPr>
        <w:t xml:space="preserve"> </w:t>
      </w:r>
      <w:r w:rsidRPr="00057E28">
        <w:t>family relationships, close friendships, business dealings, and</w:t>
      </w:r>
      <w:r w:rsidRPr="00057E28">
        <w:rPr>
          <w:rStyle w:val="CommentReference"/>
        </w:rPr>
        <w:t xml:space="preserve"> </w:t>
      </w:r>
      <w:r w:rsidRPr="00057E28">
        <w:t>shall adhere to the conflict of interest policy stated herein</w:t>
      </w:r>
      <w:r w:rsidR="009D21B5" w:rsidRPr="00057E28">
        <w:rPr>
          <w:lang w:val="en-US"/>
        </w:rPr>
        <w:t>,</w:t>
      </w:r>
      <w:r w:rsidR="00446814" w:rsidRPr="00057E28">
        <w:rPr>
          <w:lang w:val="en-US"/>
        </w:rPr>
        <w:t xml:space="preserve"> </w:t>
      </w:r>
      <w:r w:rsidR="000F70A2">
        <w:rPr>
          <w:lang w:val="en-US"/>
        </w:rPr>
        <w:t>s</w:t>
      </w:r>
      <w:proofErr w:type="spellStart"/>
      <w:r w:rsidR="00B03866" w:rsidRPr="00057E28">
        <w:t>ee</w:t>
      </w:r>
      <w:proofErr w:type="spellEnd"/>
      <w:r w:rsidR="00B03866" w:rsidRPr="00057E28">
        <w:t xml:space="preserve"> </w:t>
      </w:r>
      <w:r w:rsidR="00B03866" w:rsidRPr="00057E28">
        <w:rPr>
          <w:i/>
          <w:iCs/>
          <w:lang w:val="en-US"/>
        </w:rPr>
        <w:t>Chapter</w:t>
      </w:r>
      <w:r w:rsidR="00B03866" w:rsidRPr="00057E28">
        <w:rPr>
          <w:i/>
          <w:iCs/>
        </w:rPr>
        <w:t xml:space="preserve"> 1.2.2 Conflict of Interest</w:t>
      </w:r>
      <w:r w:rsidR="00B03866" w:rsidRPr="00057E28">
        <w:rPr>
          <w:i/>
          <w:iCs/>
          <w:lang w:val="en-US"/>
        </w:rPr>
        <w:t>.</w:t>
      </w:r>
      <w:r w:rsidRPr="00057E28">
        <w:t xml:space="preserve"> </w:t>
      </w:r>
    </w:p>
    <w:p w14:paraId="30F20539" w14:textId="77777777" w:rsidR="002B4BD9" w:rsidRDefault="002B4BD9" w:rsidP="00D71DC7">
      <w:pPr>
        <w:pStyle w:val="ACDBGBODYArial11"/>
        <w:spacing w:line="240" w:lineRule="auto"/>
        <w:rPr>
          <w:b/>
          <w:bCs/>
          <w:lang w:val="en-US"/>
        </w:rPr>
      </w:pPr>
    </w:p>
    <w:p w14:paraId="04767574" w14:textId="4CD8B704" w:rsidR="00CC4705" w:rsidRPr="00057E28" w:rsidRDefault="00425E3C" w:rsidP="00D71DC7">
      <w:pPr>
        <w:pStyle w:val="ACDBGBODYArial11"/>
        <w:spacing w:line="240" w:lineRule="auto"/>
        <w:rPr>
          <w:lang w:val="en-US"/>
        </w:rPr>
      </w:pPr>
      <w:r>
        <w:rPr>
          <w:b/>
          <w:bCs/>
          <w:lang w:val="en-US"/>
        </w:rPr>
        <w:t>BEST PRACTICE</w:t>
      </w:r>
      <w:r w:rsidR="00CC4705" w:rsidRPr="00057E28">
        <w:rPr>
          <w:lang w:val="en-US"/>
        </w:rPr>
        <w:t>:  The selection committee should consist of three or more persons.</w:t>
      </w:r>
    </w:p>
    <w:p w14:paraId="154099B7" w14:textId="77777777" w:rsidR="00CC4705" w:rsidRPr="00057E28" w:rsidRDefault="00CC4705" w:rsidP="00D71DC7">
      <w:pPr>
        <w:pStyle w:val="ACDBGBODYArial11"/>
        <w:spacing w:line="240" w:lineRule="auto"/>
      </w:pPr>
    </w:p>
    <w:p w14:paraId="0AA8C6CE" w14:textId="04EB8055" w:rsidR="00981051" w:rsidRDefault="00981051" w:rsidP="00D71DC7">
      <w:pPr>
        <w:pStyle w:val="1BODY-Arial11"/>
        <w:spacing w:line="240" w:lineRule="auto"/>
      </w:pPr>
      <w:r>
        <w:t xml:space="preserve">Update the MSR with selection committee members. Detailed step-by-step instructions for completing and submitting an MSR in TDA-GO may be found on the TDA website. </w:t>
      </w:r>
    </w:p>
    <w:p w14:paraId="4AAD0A8B" w14:textId="77777777" w:rsidR="000C6B4E" w:rsidRPr="007C34B3" w:rsidRDefault="000C6B4E" w:rsidP="007C34B3"/>
    <w:p w14:paraId="6B7A6337" w14:textId="77777777" w:rsidR="000C6B4E" w:rsidRPr="00E45B41" w:rsidRDefault="000C6B4E" w:rsidP="009333F8">
      <w:pPr>
        <w:pStyle w:val="Arial11BOLD"/>
      </w:pPr>
      <w:r>
        <w:t>Step</w:t>
      </w:r>
      <w:r w:rsidRPr="00E45B41">
        <w:t xml:space="preserve"> 2</w:t>
      </w:r>
      <w:r>
        <w:t xml:space="preserve">. </w:t>
      </w:r>
      <w:r w:rsidRPr="00E45B41">
        <w:t xml:space="preserve">Determine the Scope of Services </w:t>
      </w:r>
    </w:p>
    <w:p w14:paraId="513D2453" w14:textId="73D346B4" w:rsidR="000C6B4E" w:rsidRPr="00AF42C5" w:rsidRDefault="000C6B4E" w:rsidP="00D71DC7">
      <w:pPr>
        <w:pStyle w:val="ACDBGBODYArial11"/>
        <w:spacing w:line="240" w:lineRule="auto"/>
      </w:pPr>
      <w:r w:rsidRPr="00E45B41">
        <w:t xml:space="preserve">The scope of work for </w:t>
      </w:r>
      <w:r w:rsidR="00B03866">
        <w:rPr>
          <w:lang w:val="en-US"/>
        </w:rPr>
        <w:t xml:space="preserve">a </w:t>
      </w:r>
      <w:r>
        <w:rPr>
          <w:lang w:val="en-US"/>
        </w:rPr>
        <w:t>non-construction</w:t>
      </w:r>
      <w:r w:rsidRPr="00E45B41">
        <w:t xml:space="preserve"> </w:t>
      </w:r>
      <w:r w:rsidRPr="002D298A">
        <w:t xml:space="preserve">services </w:t>
      </w:r>
      <w:r w:rsidRPr="00E45B41">
        <w:t xml:space="preserve">contract describes all desired tasks that </w:t>
      </w:r>
      <w:r>
        <w:rPr>
          <w:lang w:val="en-US"/>
        </w:rPr>
        <w:t xml:space="preserve">a Grant Recipient </w:t>
      </w:r>
      <w:r w:rsidRPr="00E45B41">
        <w:t>expects a provider to perform under a contract.</w:t>
      </w:r>
      <w:r>
        <w:rPr>
          <w:lang w:val="en-US"/>
        </w:rPr>
        <w:t xml:space="preserve"> </w:t>
      </w:r>
      <w:r w:rsidRPr="00E45B41">
        <w:t xml:space="preserve">The scope of work should itemize </w:t>
      </w:r>
      <w:r w:rsidR="00B03866">
        <w:rPr>
          <w:lang w:val="en-US"/>
        </w:rPr>
        <w:t xml:space="preserve">the </w:t>
      </w:r>
      <w:r w:rsidRPr="00E45B41">
        <w:t>tasks needed, with timeframes and achievable goals as appropriate and is the basis for the Request for Proposals (RFP</w:t>
      </w:r>
      <w:r w:rsidRPr="00B50BE2">
        <w:t xml:space="preserve">)/Request for Qualifications (RFQ) and services contract.  </w:t>
      </w:r>
    </w:p>
    <w:p w14:paraId="31A75AFF" w14:textId="77777777" w:rsidR="000C6B4E" w:rsidRDefault="000C6B4E" w:rsidP="00D71DC7"/>
    <w:p w14:paraId="7C5AB01D" w14:textId="77777777" w:rsidR="000C6B4E" w:rsidRPr="00E45B41" w:rsidRDefault="000C6B4E" w:rsidP="009333F8">
      <w:pPr>
        <w:pStyle w:val="Arial11BOLD"/>
      </w:pPr>
      <w:r>
        <w:t>Step</w:t>
      </w:r>
      <w:r w:rsidRPr="00E45B41">
        <w:t xml:space="preserve"> 3</w:t>
      </w:r>
      <w:r>
        <w:t xml:space="preserve">. </w:t>
      </w:r>
      <w:r w:rsidRPr="00E45B41">
        <w:t>Establish Written Selection Criteria</w:t>
      </w:r>
    </w:p>
    <w:p w14:paraId="3E2353AD" w14:textId="7C02CFF4" w:rsidR="000C6B4E" w:rsidRPr="00E45B41" w:rsidRDefault="000C6B4E" w:rsidP="00D71DC7">
      <w:pPr>
        <w:pStyle w:val="ACDBGBODYArial11"/>
        <w:spacing w:line="240" w:lineRule="auto"/>
      </w:pPr>
      <w:r w:rsidRPr="00E45B41">
        <w:t>The committee’s written selection criteria should include, at a minimum, a clear and accurate description of the technical requirements of the services to be procured. Such descriptions shall not contain features that unduly restrict competition.</w:t>
      </w:r>
      <w:r>
        <w:rPr>
          <w:lang w:val="en-US"/>
        </w:rPr>
        <w:t xml:space="preserve"> </w:t>
      </w:r>
      <w:r w:rsidRPr="00E45B41">
        <w:t>T</w:t>
      </w:r>
      <w:r>
        <w:t>DA</w:t>
      </w:r>
      <w:r w:rsidRPr="00E45B41">
        <w:t xml:space="preserve"> strongly recommends that the Grant </w:t>
      </w:r>
      <w:r>
        <w:rPr>
          <w:lang w:val="en-US"/>
        </w:rPr>
        <w:t>Recipient</w:t>
      </w:r>
      <w:r w:rsidRPr="00E45B41">
        <w:t xml:space="preserve"> use a scoring method for reviewing </w:t>
      </w:r>
      <w:r w:rsidR="00004A6A">
        <w:t>administration</w:t>
      </w:r>
      <w:r>
        <w:rPr>
          <w:b/>
        </w:rPr>
        <w:t xml:space="preserve"> </w:t>
      </w:r>
      <w:r w:rsidRPr="00613ECA">
        <w:t>and professional services</w:t>
      </w:r>
      <w:r w:rsidRPr="007C7123">
        <w:rPr>
          <w:b/>
          <w:color w:val="008000"/>
        </w:rPr>
        <w:t xml:space="preserve"> </w:t>
      </w:r>
      <w:r w:rsidRPr="00E45B41">
        <w:t>proposals</w:t>
      </w:r>
      <w:r w:rsidR="009D21B5">
        <w:rPr>
          <w:lang w:val="en-US"/>
        </w:rPr>
        <w:t>,</w:t>
      </w:r>
      <w:r w:rsidR="008A75F9">
        <w:rPr>
          <w:lang w:val="en-US"/>
        </w:rPr>
        <w:t xml:space="preserve"> </w:t>
      </w:r>
      <w:r w:rsidR="00004A6A">
        <w:rPr>
          <w:lang w:val="en-US"/>
        </w:rPr>
        <w:t>see</w:t>
      </w:r>
      <w:r w:rsidR="00004A6A">
        <w:t xml:space="preserve"> </w:t>
      </w:r>
      <w:r w:rsidRPr="00794F41">
        <w:t>Appendi</w:t>
      </w:r>
      <w:r>
        <w:rPr>
          <w:lang w:val="en-US"/>
        </w:rPr>
        <w:t>ces</w:t>
      </w:r>
      <w:r w:rsidRPr="00794F41">
        <w:t xml:space="preserve"> D and E</w:t>
      </w:r>
      <w:r>
        <w:rPr>
          <w:b/>
        </w:rPr>
        <w:t>.</w:t>
      </w:r>
      <w:r>
        <w:t xml:space="preserve"> </w:t>
      </w:r>
    </w:p>
    <w:p w14:paraId="6C4DF986" w14:textId="77777777" w:rsidR="000C6B4E" w:rsidRDefault="000C6B4E" w:rsidP="00D71DC7"/>
    <w:p w14:paraId="066A762E" w14:textId="77777777" w:rsidR="000C6B4E" w:rsidRPr="00820D06" w:rsidRDefault="000C6B4E" w:rsidP="00D71DC7">
      <w:pPr>
        <w:pStyle w:val="ACDBGBODYArial11"/>
        <w:spacing w:line="240" w:lineRule="auto"/>
        <w:rPr>
          <w:spacing w:val="1"/>
          <w:lang w:val="en-US"/>
        </w:rPr>
      </w:pPr>
      <w:r w:rsidRPr="00820D06">
        <w:rPr>
          <w:spacing w:val="1"/>
        </w:rPr>
        <w:t xml:space="preserve">The specific criteria to be used by the Grant </w:t>
      </w:r>
      <w:r>
        <w:rPr>
          <w:spacing w:val="1"/>
          <w:lang w:val="en-US"/>
        </w:rPr>
        <w:t>Recipient</w:t>
      </w:r>
      <w:r w:rsidRPr="00820D06">
        <w:rPr>
          <w:spacing w:val="1"/>
        </w:rPr>
        <w:t xml:space="preserve"> should fit the needs of the desired services and the specifics of the proposed project. The importance of each of these factors should be determined before the review process begins by assigning weighted values to each factor.</w:t>
      </w:r>
      <w:r w:rsidRPr="00820D06">
        <w:rPr>
          <w:spacing w:val="1"/>
          <w:lang w:val="en-US"/>
        </w:rPr>
        <w:t xml:space="preserve"> </w:t>
      </w:r>
    </w:p>
    <w:p w14:paraId="3D4476C9" w14:textId="77777777" w:rsidR="000C6B4E" w:rsidRDefault="000C6B4E" w:rsidP="00D71DC7">
      <w:pPr>
        <w:pStyle w:val="ACDBGBODYArial11"/>
        <w:spacing w:line="240" w:lineRule="auto"/>
        <w:rPr>
          <w:lang w:val="en-US"/>
        </w:rPr>
      </w:pPr>
    </w:p>
    <w:p w14:paraId="068DE014" w14:textId="62D4FD56" w:rsidR="000C6B4E" w:rsidRDefault="000C6B4E" w:rsidP="00D71DC7">
      <w:pPr>
        <w:pStyle w:val="ACDBGBODYArial11"/>
        <w:spacing w:line="240" w:lineRule="auto"/>
      </w:pPr>
      <w:r w:rsidRPr="00794F41">
        <w:t xml:space="preserve">The local governing body has final authority to approve all contracts and should be closely involved in the establishment of the written selection criteria. Sample rating sheets for </w:t>
      </w:r>
      <w:r w:rsidR="00004A6A">
        <w:rPr>
          <w:lang w:val="en-US"/>
        </w:rPr>
        <w:t>administration</w:t>
      </w:r>
      <w:r w:rsidRPr="00794F41">
        <w:t xml:space="preserve"> </w:t>
      </w:r>
      <w:r>
        <w:rPr>
          <w:lang w:val="en-US"/>
        </w:rPr>
        <w:t xml:space="preserve">and similar </w:t>
      </w:r>
      <w:r w:rsidR="0090789D" w:rsidRPr="00794F41">
        <w:t>services</w:t>
      </w:r>
      <w:r w:rsidRPr="00794F41">
        <w:t xml:space="preserve"> are found in </w:t>
      </w:r>
      <w:r w:rsidRPr="00D71DC7">
        <w:rPr>
          <w:i/>
          <w:iCs/>
        </w:rPr>
        <w:t xml:space="preserve">Appendix </w:t>
      </w:r>
      <w:r w:rsidRPr="00D71DC7">
        <w:rPr>
          <w:i/>
          <w:iCs/>
          <w:lang w:val="en-US"/>
        </w:rPr>
        <w:t>D</w:t>
      </w:r>
      <w:r>
        <w:rPr>
          <w:lang w:val="en-US"/>
        </w:rPr>
        <w:t>. A</w:t>
      </w:r>
      <w:r w:rsidRPr="00794F41">
        <w:t xml:space="preserve"> sample rating sheet for Engineers/Architects/Surveyors is found in </w:t>
      </w:r>
      <w:r w:rsidRPr="00D71DC7">
        <w:rPr>
          <w:i/>
          <w:iCs/>
        </w:rPr>
        <w:t>Appendix E</w:t>
      </w:r>
      <w:r w:rsidRPr="00794F41">
        <w:t>.</w:t>
      </w:r>
    </w:p>
    <w:p w14:paraId="43CCD6D6" w14:textId="77777777" w:rsidR="000C6B4E" w:rsidRDefault="000C6B4E" w:rsidP="00D71DC7">
      <w:pPr>
        <w:pStyle w:val="ACDBGBODYArial11"/>
        <w:spacing w:line="240" w:lineRule="auto"/>
      </w:pPr>
    </w:p>
    <w:p w14:paraId="245AB6B2" w14:textId="77777777" w:rsidR="000C6B4E" w:rsidRPr="004466EA" w:rsidRDefault="000C6B4E" w:rsidP="009333F8">
      <w:pPr>
        <w:tabs>
          <w:tab w:val="left" w:pos="2160"/>
        </w:tabs>
        <w:ind w:left="2160" w:hanging="2160"/>
        <w:jc w:val="both"/>
        <w:rPr>
          <w:rFonts w:cs="Arial"/>
          <w:b/>
          <w:szCs w:val="22"/>
        </w:rPr>
      </w:pPr>
      <w:r>
        <w:rPr>
          <w:rFonts w:cs="Arial"/>
          <w:b/>
          <w:szCs w:val="22"/>
        </w:rPr>
        <w:t>Step</w:t>
      </w:r>
      <w:r w:rsidRPr="00E45B41">
        <w:rPr>
          <w:rFonts w:cs="Arial"/>
          <w:b/>
          <w:szCs w:val="22"/>
        </w:rPr>
        <w:t xml:space="preserve"> 4</w:t>
      </w:r>
      <w:r>
        <w:rPr>
          <w:rFonts w:cs="Arial"/>
          <w:b/>
          <w:szCs w:val="22"/>
        </w:rPr>
        <w:t xml:space="preserve">. </w:t>
      </w:r>
      <w:r w:rsidRPr="00E45B41">
        <w:rPr>
          <w:rFonts w:cs="Arial"/>
          <w:b/>
          <w:szCs w:val="22"/>
        </w:rPr>
        <w:t>Develop the Request for Proposals</w:t>
      </w:r>
      <w:r>
        <w:rPr>
          <w:rFonts w:cs="Arial"/>
          <w:b/>
          <w:szCs w:val="22"/>
        </w:rPr>
        <w:t>/Qualifications</w:t>
      </w:r>
      <w:r w:rsidRPr="00E45B41">
        <w:rPr>
          <w:rFonts w:cs="Arial"/>
          <w:b/>
          <w:szCs w:val="22"/>
        </w:rPr>
        <w:t xml:space="preserve"> Package</w:t>
      </w:r>
      <w:r w:rsidRPr="00E45B41">
        <w:rPr>
          <w:rFonts w:cs="Arial"/>
          <w:szCs w:val="22"/>
        </w:rPr>
        <w:t xml:space="preserve"> </w:t>
      </w:r>
    </w:p>
    <w:p w14:paraId="471F942B" w14:textId="3A613DAC" w:rsidR="000C6B4E" w:rsidRPr="00FB6ABE" w:rsidRDefault="000C6B4E" w:rsidP="00D71DC7">
      <w:pPr>
        <w:pStyle w:val="ACDBGBODYArial11"/>
        <w:spacing w:line="240" w:lineRule="auto"/>
        <w:rPr>
          <w:spacing w:val="-2"/>
        </w:rPr>
      </w:pPr>
      <w:r w:rsidRPr="00FB6ABE">
        <w:rPr>
          <w:spacing w:val="-2"/>
        </w:rPr>
        <w:t xml:space="preserve">The Grant </w:t>
      </w:r>
      <w:r>
        <w:rPr>
          <w:spacing w:val="-2"/>
          <w:lang w:val="en-US"/>
        </w:rPr>
        <w:t>Recipient</w:t>
      </w:r>
      <w:r w:rsidRPr="00FB6ABE">
        <w:rPr>
          <w:spacing w:val="-2"/>
        </w:rPr>
        <w:t xml:space="preserve"> must develop a</w:t>
      </w:r>
      <w:r w:rsidRPr="00FB6ABE">
        <w:rPr>
          <w:spacing w:val="-2"/>
          <w:lang w:val="en-US"/>
        </w:rPr>
        <w:t>n</w:t>
      </w:r>
      <w:r w:rsidRPr="00FB6ABE">
        <w:rPr>
          <w:spacing w:val="-2"/>
        </w:rPr>
        <w:t xml:space="preserve"> </w:t>
      </w:r>
      <w:r>
        <w:rPr>
          <w:spacing w:val="-2"/>
          <w:lang w:val="en-US"/>
        </w:rPr>
        <w:t>Request for Proposal (</w:t>
      </w:r>
      <w:r w:rsidRPr="00FB6ABE">
        <w:rPr>
          <w:spacing w:val="-2"/>
        </w:rPr>
        <w:t>RFP</w:t>
      </w:r>
      <w:r>
        <w:rPr>
          <w:spacing w:val="-2"/>
          <w:lang w:val="en-US"/>
        </w:rPr>
        <w:t>)</w:t>
      </w:r>
      <w:r w:rsidRPr="00FB6ABE">
        <w:rPr>
          <w:spacing w:val="-2"/>
        </w:rPr>
        <w:t xml:space="preserve"> (</w:t>
      </w:r>
      <w:r w:rsidR="00004A6A">
        <w:rPr>
          <w:spacing w:val="-2"/>
          <w:lang w:val="en-US"/>
        </w:rPr>
        <w:t>administration</w:t>
      </w:r>
      <w:r w:rsidR="0031321F">
        <w:rPr>
          <w:spacing w:val="-2"/>
          <w:lang w:val="en-US"/>
        </w:rPr>
        <w:t xml:space="preserve"> </w:t>
      </w:r>
      <w:r>
        <w:rPr>
          <w:spacing w:val="-2"/>
          <w:lang w:val="en-US"/>
        </w:rPr>
        <w:t>/</w:t>
      </w:r>
      <w:r w:rsidR="0031321F">
        <w:rPr>
          <w:spacing w:val="-2"/>
          <w:lang w:val="en-US"/>
        </w:rPr>
        <w:t xml:space="preserve"> </w:t>
      </w:r>
      <w:r>
        <w:rPr>
          <w:spacing w:val="-2"/>
          <w:lang w:val="en-US"/>
        </w:rPr>
        <w:t xml:space="preserve">planning/ similar </w:t>
      </w:r>
      <w:r w:rsidR="0031321F">
        <w:rPr>
          <w:spacing w:val="-2"/>
          <w:lang w:val="en-US"/>
        </w:rPr>
        <w:t>services</w:t>
      </w:r>
      <w:r w:rsidRPr="00FB6ABE">
        <w:rPr>
          <w:spacing w:val="-2"/>
        </w:rPr>
        <w:t>)</w:t>
      </w:r>
      <w:r>
        <w:rPr>
          <w:spacing w:val="-2"/>
          <w:lang w:val="en-US"/>
        </w:rPr>
        <w:t xml:space="preserve"> or Request for Qualifications (</w:t>
      </w:r>
      <w:r w:rsidRPr="00FB6ABE">
        <w:rPr>
          <w:spacing w:val="-2"/>
        </w:rPr>
        <w:t>RFQ</w:t>
      </w:r>
      <w:r>
        <w:rPr>
          <w:spacing w:val="-2"/>
          <w:lang w:val="en-US"/>
        </w:rPr>
        <w:t>)</w:t>
      </w:r>
      <w:r w:rsidRPr="00FB6ABE">
        <w:rPr>
          <w:spacing w:val="-2"/>
        </w:rPr>
        <w:t xml:space="preserve"> (</w:t>
      </w:r>
      <w:r w:rsidR="0031321F">
        <w:rPr>
          <w:spacing w:val="-2"/>
          <w:lang w:val="en-US"/>
        </w:rPr>
        <w:t>architectural / engineering / surveying services</w:t>
      </w:r>
      <w:r w:rsidRPr="00FB6ABE">
        <w:rPr>
          <w:spacing w:val="-2"/>
        </w:rPr>
        <w:t>) package to issue to potential respondents.</w:t>
      </w:r>
      <w:r w:rsidRPr="00FB6ABE">
        <w:rPr>
          <w:spacing w:val="-2"/>
          <w:lang w:val="en-US"/>
        </w:rPr>
        <w:t xml:space="preserve"> </w:t>
      </w:r>
      <w:r w:rsidRPr="00FB6ABE">
        <w:rPr>
          <w:spacing w:val="-2"/>
        </w:rPr>
        <w:t>RFP/RFQs must identify all evaluation criteria factors and their relative importan</w:t>
      </w:r>
      <w:r w:rsidRPr="00FB6ABE">
        <w:rPr>
          <w:spacing w:val="-2"/>
          <w:lang w:val="en-US"/>
        </w:rPr>
        <w:t>ce.</w:t>
      </w:r>
      <w:r w:rsidRPr="00FB6ABE">
        <w:rPr>
          <w:spacing w:val="-2"/>
        </w:rPr>
        <w:t xml:space="preserve"> </w:t>
      </w:r>
    </w:p>
    <w:p w14:paraId="218416BB" w14:textId="77777777" w:rsidR="000C6B4E" w:rsidRDefault="000C6B4E" w:rsidP="00D71DC7">
      <w:pPr>
        <w:pStyle w:val="ACDBGBODYArial11"/>
        <w:spacing w:line="240" w:lineRule="auto"/>
      </w:pPr>
    </w:p>
    <w:p w14:paraId="6368C6FE" w14:textId="483844BC" w:rsidR="000C6B4E" w:rsidRDefault="000C6B4E" w:rsidP="00D71DC7">
      <w:pPr>
        <w:pStyle w:val="ACDBGBODYArial11"/>
        <w:spacing w:line="240" w:lineRule="auto"/>
        <w:rPr>
          <w:lang w:val="en-US"/>
        </w:rPr>
      </w:pPr>
      <w:r>
        <w:rPr>
          <w:lang w:val="en-US"/>
        </w:rPr>
        <w:t>Each RFP/RFQ should include only one TxCDBG-funded project. If the Grant Recipient would like to issue a single RFP</w:t>
      </w:r>
      <w:r w:rsidR="002B4BD9">
        <w:rPr>
          <w:lang w:val="en-US"/>
        </w:rPr>
        <w:t>/RFQ</w:t>
      </w:r>
      <w:r>
        <w:rPr>
          <w:lang w:val="en-US"/>
        </w:rPr>
        <w:t xml:space="preserve"> that includes several stand-alone TxCDBG project(s) or pending applications, the packet must clearly identify each separate grant project or application cycle and the services requested. The RFP/RFQ must request separate pricing information for each grant project, if applicable, and must state whether contracts may be awarded to multiple respondents based on the single RFP/RFQ.  </w:t>
      </w:r>
    </w:p>
    <w:p w14:paraId="45A6EDEB" w14:textId="77777777" w:rsidR="000C6B4E" w:rsidRDefault="000C6B4E" w:rsidP="00D71DC7">
      <w:pPr>
        <w:pStyle w:val="ACDBGBODYArial11"/>
        <w:spacing w:line="240" w:lineRule="auto"/>
        <w:rPr>
          <w:lang w:val="en-US"/>
        </w:rPr>
      </w:pPr>
    </w:p>
    <w:p w14:paraId="0D5999C4" w14:textId="03C541CC" w:rsidR="00981051" w:rsidRDefault="000C6B4E" w:rsidP="00D71DC7">
      <w:pPr>
        <w:pStyle w:val="ACDBGBODYArial11"/>
        <w:spacing w:line="240" w:lineRule="auto"/>
        <w:rPr>
          <w:lang w:val="en-US"/>
        </w:rPr>
      </w:pPr>
      <w:r>
        <w:rPr>
          <w:lang w:val="en-US"/>
        </w:rPr>
        <w:t xml:space="preserve">TDA will </w:t>
      </w:r>
      <w:r w:rsidRPr="006E21EE">
        <w:rPr>
          <w:b/>
          <w:bCs/>
          <w:lang w:val="en-US"/>
        </w:rPr>
        <w:t>not</w:t>
      </w:r>
      <w:r>
        <w:rPr>
          <w:lang w:val="en-US"/>
        </w:rPr>
        <w:t xml:space="preserve"> accept RFP</w:t>
      </w:r>
      <w:r w:rsidR="002B4BD9">
        <w:rPr>
          <w:lang w:val="en-US"/>
        </w:rPr>
        <w:t>’s</w:t>
      </w:r>
      <w:r>
        <w:rPr>
          <w:lang w:val="en-US"/>
        </w:rPr>
        <w:t>/RFQ</w:t>
      </w:r>
      <w:r w:rsidR="002B4BD9">
        <w:rPr>
          <w:lang w:val="en-US"/>
        </w:rPr>
        <w:t>’</w:t>
      </w:r>
      <w:r>
        <w:rPr>
          <w:lang w:val="en-US"/>
        </w:rPr>
        <w:t xml:space="preserve">s that include future application cycles beyond the program year for which an application is currently or next expected to be available. </w:t>
      </w:r>
    </w:p>
    <w:p w14:paraId="6C1B6160" w14:textId="77777777" w:rsidR="00240641" w:rsidRDefault="00240641" w:rsidP="00D71DC7">
      <w:pPr>
        <w:pStyle w:val="ACDBGBODYArial11"/>
        <w:spacing w:line="240" w:lineRule="auto"/>
        <w:rPr>
          <w:lang w:val="en-US"/>
        </w:rPr>
      </w:pPr>
    </w:p>
    <w:p w14:paraId="30021C93" w14:textId="0627B134" w:rsidR="000C6B4E" w:rsidRDefault="000C6B4E" w:rsidP="00D71DC7">
      <w:pPr>
        <w:pStyle w:val="ACDBGBODYArial11"/>
        <w:spacing w:line="240" w:lineRule="auto"/>
        <w:rPr>
          <w:lang w:val="en-US"/>
        </w:rPr>
      </w:pPr>
      <w:r w:rsidRPr="006E21EE">
        <w:rPr>
          <w:b/>
          <w:bCs/>
          <w:lang w:val="en-US"/>
        </w:rPr>
        <w:t>BEST</w:t>
      </w:r>
      <w:r>
        <w:rPr>
          <w:lang w:val="en-US"/>
        </w:rPr>
        <w:t xml:space="preserve"> </w:t>
      </w:r>
      <w:r w:rsidRPr="006E21EE">
        <w:rPr>
          <w:b/>
          <w:bCs/>
          <w:lang w:val="en-US"/>
        </w:rPr>
        <w:t>PRAC</w:t>
      </w:r>
      <w:r>
        <w:rPr>
          <w:b/>
          <w:bCs/>
          <w:lang w:val="en-US"/>
        </w:rPr>
        <w:t>TI</w:t>
      </w:r>
      <w:r w:rsidRPr="006E21EE">
        <w:rPr>
          <w:b/>
          <w:bCs/>
          <w:lang w:val="en-US"/>
        </w:rPr>
        <w:t>CE</w:t>
      </w:r>
      <w:r>
        <w:rPr>
          <w:lang w:val="en-US"/>
        </w:rPr>
        <w:t>:</w:t>
      </w:r>
      <w:r w:rsidRPr="00966814">
        <w:t xml:space="preserve"> </w:t>
      </w:r>
      <w:r w:rsidR="0031321F">
        <w:rPr>
          <w:lang w:val="en-US"/>
        </w:rPr>
        <w:t>Treat</w:t>
      </w:r>
      <w:r w:rsidR="0031321F" w:rsidRPr="00966814">
        <w:t xml:space="preserve"> </w:t>
      </w:r>
      <w:r w:rsidRPr="00966814">
        <w:t>each grant as a separate procurement, requiring separate RFP</w:t>
      </w:r>
      <w:r w:rsidR="002B4BD9">
        <w:t>’</w:t>
      </w:r>
      <w:r>
        <w:rPr>
          <w:lang w:val="en-US"/>
        </w:rPr>
        <w:t>s</w:t>
      </w:r>
      <w:r w:rsidRPr="00966814">
        <w:t>/RFQ</w:t>
      </w:r>
      <w:r w:rsidR="002B4BD9">
        <w:t>’</w:t>
      </w:r>
      <w:r w:rsidRPr="00966814">
        <w:t>s scoring, and award, even if the advertisements are combined.</w:t>
      </w:r>
      <w:r>
        <w:rPr>
          <w:lang w:val="en-US"/>
        </w:rPr>
        <w:t xml:space="preserve">  </w:t>
      </w:r>
    </w:p>
    <w:p w14:paraId="0BB3E466" w14:textId="77777777" w:rsidR="002B4BD9" w:rsidRPr="003033D7" w:rsidRDefault="002B4BD9" w:rsidP="00D71DC7">
      <w:pPr>
        <w:pStyle w:val="ACDBGBODYArial11"/>
        <w:spacing w:line="240" w:lineRule="auto"/>
        <w:rPr>
          <w:lang w:val="en-US"/>
        </w:rPr>
      </w:pPr>
    </w:p>
    <w:p w14:paraId="46EC472C" w14:textId="6DC643B2" w:rsidR="000C6B4E" w:rsidRPr="00B50BE2" w:rsidRDefault="000C6B4E" w:rsidP="009333F8">
      <w:pPr>
        <w:pStyle w:val="Arial11BOLD"/>
      </w:pPr>
      <w:r>
        <w:t xml:space="preserve">Step </w:t>
      </w:r>
      <w:r w:rsidRPr="00B50BE2">
        <w:t>4.1</w:t>
      </w:r>
      <w:r>
        <w:t>.</w:t>
      </w:r>
      <w:r w:rsidRPr="00B50BE2">
        <w:t xml:space="preserve"> </w:t>
      </w:r>
      <w:r>
        <w:t xml:space="preserve">Request for Proposal </w:t>
      </w:r>
      <w:r w:rsidRPr="00B50BE2">
        <w:t xml:space="preserve">of </w:t>
      </w:r>
      <w:r w:rsidR="00004A6A">
        <w:t>Administration</w:t>
      </w:r>
      <w:r>
        <w:t>, Planning, and Similar</w:t>
      </w:r>
      <w:r w:rsidRPr="00B50BE2">
        <w:t xml:space="preserve"> Services </w:t>
      </w:r>
    </w:p>
    <w:p w14:paraId="717339C0" w14:textId="3700AF9C" w:rsidR="000C6B4E" w:rsidRPr="00B50BE2" w:rsidRDefault="000C6B4E" w:rsidP="00D71DC7">
      <w:pPr>
        <w:jc w:val="both"/>
        <w:rPr>
          <w:rFonts w:cs="Arial"/>
          <w:szCs w:val="22"/>
        </w:rPr>
      </w:pPr>
      <w:r w:rsidRPr="00B50BE2">
        <w:rPr>
          <w:rFonts w:cs="Arial"/>
          <w:szCs w:val="22"/>
        </w:rPr>
        <w:t xml:space="preserve">The RFP package </w:t>
      </w:r>
      <w:r w:rsidRPr="000A79D4">
        <w:rPr>
          <w:rFonts w:cs="Arial"/>
          <w:szCs w:val="22"/>
        </w:rPr>
        <w:t xml:space="preserve">for </w:t>
      </w:r>
      <w:r w:rsidR="00004A6A">
        <w:rPr>
          <w:rFonts w:cs="Arial"/>
          <w:szCs w:val="22"/>
        </w:rPr>
        <w:t>administration</w:t>
      </w:r>
      <w:r w:rsidR="00777C0C">
        <w:rPr>
          <w:rFonts w:cs="Arial"/>
          <w:szCs w:val="22"/>
        </w:rPr>
        <w:t xml:space="preserve">, </w:t>
      </w:r>
      <w:r w:rsidR="006B1540">
        <w:rPr>
          <w:rFonts w:cs="Arial"/>
          <w:szCs w:val="22"/>
        </w:rPr>
        <w:t>planning</w:t>
      </w:r>
      <w:r w:rsidR="00777C0C">
        <w:rPr>
          <w:rFonts w:cs="Arial"/>
          <w:szCs w:val="22"/>
        </w:rPr>
        <w:t>,</w:t>
      </w:r>
      <w:r w:rsidR="006B1540">
        <w:rPr>
          <w:rFonts w:cs="Arial"/>
          <w:szCs w:val="22"/>
        </w:rPr>
        <w:t xml:space="preserve"> </w:t>
      </w:r>
      <w:r w:rsidR="00777C0C">
        <w:rPr>
          <w:rFonts w:cs="Arial"/>
          <w:szCs w:val="22"/>
        </w:rPr>
        <w:t>or</w:t>
      </w:r>
      <w:r w:rsidR="006B1540">
        <w:rPr>
          <w:rFonts w:cs="Arial"/>
          <w:szCs w:val="22"/>
        </w:rPr>
        <w:t xml:space="preserve"> similar services </w:t>
      </w:r>
      <w:r w:rsidRPr="00B50BE2">
        <w:rPr>
          <w:rFonts w:cs="Arial"/>
          <w:szCs w:val="22"/>
        </w:rPr>
        <w:t>must contain three parts.</w:t>
      </w:r>
      <w:r>
        <w:rPr>
          <w:rFonts w:cs="Arial"/>
          <w:szCs w:val="22"/>
        </w:rPr>
        <w:t xml:space="preserve"> </w:t>
      </w:r>
      <w:r w:rsidRPr="00B50BE2">
        <w:rPr>
          <w:rFonts w:cs="Arial"/>
          <w:szCs w:val="22"/>
        </w:rPr>
        <w:t xml:space="preserve">Samples of each </w:t>
      </w:r>
      <w:r w:rsidR="005428DB">
        <w:rPr>
          <w:rFonts w:cs="Arial"/>
          <w:szCs w:val="22"/>
        </w:rPr>
        <w:t xml:space="preserve">of the </w:t>
      </w:r>
      <w:r w:rsidRPr="00B50BE2">
        <w:rPr>
          <w:rFonts w:cs="Arial"/>
          <w:szCs w:val="22"/>
        </w:rPr>
        <w:t xml:space="preserve">required documents are found in </w:t>
      </w:r>
      <w:r w:rsidRPr="00D71DC7">
        <w:rPr>
          <w:rFonts w:cs="Arial"/>
          <w:i/>
          <w:iCs/>
          <w:szCs w:val="22"/>
        </w:rPr>
        <w:t>Appendix D</w:t>
      </w:r>
      <w:r>
        <w:rPr>
          <w:rFonts w:cs="Arial"/>
          <w:b/>
          <w:szCs w:val="22"/>
        </w:rPr>
        <w:t>.</w:t>
      </w:r>
    </w:p>
    <w:p w14:paraId="6C7B61A0" w14:textId="77777777" w:rsidR="000C6B4E" w:rsidRPr="00E45B41" w:rsidRDefault="000C6B4E" w:rsidP="00D71DC7">
      <w:pPr>
        <w:jc w:val="both"/>
        <w:rPr>
          <w:rFonts w:cs="Arial"/>
          <w:szCs w:val="22"/>
        </w:rPr>
      </w:pPr>
    </w:p>
    <w:p w14:paraId="545D2019" w14:textId="77777777" w:rsidR="000C6B4E" w:rsidRDefault="000C6B4E" w:rsidP="005F4682">
      <w:pPr>
        <w:numPr>
          <w:ilvl w:val="0"/>
          <w:numId w:val="8"/>
        </w:numPr>
        <w:ind w:left="360"/>
        <w:jc w:val="both"/>
        <w:rPr>
          <w:rFonts w:cs="Arial"/>
          <w:szCs w:val="22"/>
        </w:rPr>
      </w:pPr>
      <w:r>
        <w:rPr>
          <w:rFonts w:cs="Arial"/>
          <w:b/>
          <w:bCs/>
          <w:szCs w:val="22"/>
        </w:rPr>
        <w:t>C</w:t>
      </w:r>
      <w:r w:rsidRPr="00ED268C">
        <w:rPr>
          <w:rFonts w:cs="Arial"/>
          <w:b/>
          <w:bCs/>
          <w:szCs w:val="22"/>
        </w:rPr>
        <w:t>over Letter:</w:t>
      </w:r>
      <w:r w:rsidRPr="00E45B41">
        <w:rPr>
          <w:rFonts w:cs="Arial"/>
          <w:b/>
          <w:szCs w:val="22"/>
        </w:rPr>
        <w:t xml:space="preserve"> </w:t>
      </w:r>
      <w:r w:rsidRPr="00E45B41">
        <w:rPr>
          <w:rFonts w:cs="Arial"/>
          <w:szCs w:val="22"/>
        </w:rPr>
        <w:t xml:space="preserve">The purpose of this letter is to solicit proposals from interested parties. This can be tailored to the Grant </w:t>
      </w:r>
      <w:r>
        <w:t>Recipient</w:t>
      </w:r>
      <w:r w:rsidRPr="00E45B41">
        <w:rPr>
          <w:rFonts w:cs="Arial"/>
          <w:szCs w:val="22"/>
        </w:rPr>
        <w:t xml:space="preserve">'s specific project. </w:t>
      </w:r>
    </w:p>
    <w:p w14:paraId="13A54B5B" w14:textId="77777777" w:rsidR="000C6B4E" w:rsidRPr="005F78A4" w:rsidRDefault="000C6B4E" w:rsidP="005F4682">
      <w:pPr>
        <w:numPr>
          <w:ilvl w:val="0"/>
          <w:numId w:val="8"/>
        </w:numPr>
        <w:ind w:left="360"/>
        <w:jc w:val="both"/>
        <w:rPr>
          <w:rFonts w:cs="Arial"/>
          <w:b/>
          <w:bCs/>
          <w:szCs w:val="22"/>
        </w:rPr>
      </w:pPr>
      <w:r w:rsidRPr="00ED268C">
        <w:rPr>
          <w:rFonts w:cs="Arial"/>
          <w:b/>
          <w:bCs/>
          <w:szCs w:val="22"/>
        </w:rPr>
        <w:t>Request for Proposals (RFP):</w:t>
      </w:r>
      <w:r w:rsidRPr="00E45B41">
        <w:rPr>
          <w:rFonts w:cs="Arial"/>
          <w:szCs w:val="22"/>
        </w:rPr>
        <w:t xml:space="preserve"> The RFP provides detailed instructions to respondents and the criteria to be used in evaluating proposals</w:t>
      </w:r>
      <w:r>
        <w:rPr>
          <w:rFonts w:cs="Arial"/>
          <w:szCs w:val="22"/>
        </w:rPr>
        <w:t>.</w:t>
      </w:r>
    </w:p>
    <w:p w14:paraId="214BF411" w14:textId="77777777" w:rsidR="00777C0C" w:rsidRDefault="00777C0C" w:rsidP="00D71DC7">
      <w:pPr>
        <w:ind w:left="360"/>
        <w:jc w:val="both"/>
        <w:rPr>
          <w:rFonts w:cs="Arial"/>
          <w:szCs w:val="22"/>
        </w:rPr>
      </w:pPr>
    </w:p>
    <w:p w14:paraId="4748A798" w14:textId="658458B5" w:rsidR="000C6B4E" w:rsidRPr="00777C0C" w:rsidRDefault="000C6B4E" w:rsidP="00D71DC7">
      <w:pPr>
        <w:ind w:left="360"/>
        <w:jc w:val="both"/>
        <w:rPr>
          <w:rFonts w:cs="Arial"/>
          <w:szCs w:val="22"/>
        </w:rPr>
      </w:pPr>
      <w:r w:rsidRPr="00777C0C">
        <w:rPr>
          <w:rFonts w:cs="Arial"/>
          <w:szCs w:val="22"/>
        </w:rPr>
        <w:t xml:space="preserve">The RFP </w:t>
      </w:r>
      <w:r w:rsidR="002B4BD9" w:rsidRPr="00777C0C">
        <w:rPr>
          <w:rFonts w:cs="Arial"/>
          <w:szCs w:val="22"/>
        </w:rPr>
        <w:t>must</w:t>
      </w:r>
      <w:r w:rsidRPr="00777C0C">
        <w:rPr>
          <w:rFonts w:cs="Arial"/>
          <w:szCs w:val="22"/>
        </w:rPr>
        <w:t xml:space="preserve"> include the following components:</w:t>
      </w:r>
    </w:p>
    <w:p w14:paraId="49523B46" w14:textId="77777777" w:rsidR="000C6B4E" w:rsidRPr="00B50BE2" w:rsidRDefault="000C6B4E" w:rsidP="005F4682">
      <w:pPr>
        <w:pStyle w:val="BULLETS"/>
        <w:numPr>
          <w:ilvl w:val="0"/>
          <w:numId w:val="31"/>
        </w:numPr>
        <w:spacing w:line="240" w:lineRule="auto"/>
        <w:ind w:left="720"/>
      </w:pPr>
      <w:r w:rsidRPr="00B50BE2">
        <w:t>The request for proposal, including specifications and attachments, must clearly describe the scope of services required and identify the factors that will be used to evaluate proposals</w:t>
      </w:r>
      <w:r>
        <w:t>; and</w:t>
      </w:r>
    </w:p>
    <w:p w14:paraId="0FA17323" w14:textId="0126BFFF" w:rsidR="00CA2C97" w:rsidRPr="00311413" w:rsidRDefault="000C6B4E" w:rsidP="00733BCC">
      <w:pPr>
        <w:pStyle w:val="BULLETS"/>
        <w:numPr>
          <w:ilvl w:val="0"/>
          <w:numId w:val="31"/>
        </w:numPr>
        <w:spacing w:line="240" w:lineRule="auto"/>
        <w:ind w:left="720"/>
        <w:jc w:val="both"/>
      </w:pPr>
      <w:r w:rsidRPr="00B50BE2">
        <w:t xml:space="preserve">Either the </w:t>
      </w:r>
      <w:r>
        <w:t>s</w:t>
      </w:r>
      <w:r w:rsidRPr="00B50BE2">
        <w:t xml:space="preserve">ample </w:t>
      </w:r>
      <w:r w:rsidR="00004A6A">
        <w:t>administration</w:t>
      </w:r>
      <w:r w:rsidR="0031321F">
        <w:t xml:space="preserve"> services or </w:t>
      </w:r>
      <w:r>
        <w:t>p</w:t>
      </w:r>
      <w:r w:rsidRPr="00B50BE2">
        <w:t xml:space="preserve">rofessional </w:t>
      </w:r>
      <w:r>
        <w:t>s</w:t>
      </w:r>
      <w:r w:rsidRPr="00B50BE2">
        <w:t xml:space="preserve">ervices </w:t>
      </w:r>
      <w:r>
        <w:t>r</w:t>
      </w:r>
      <w:r w:rsidRPr="00B50BE2">
        <w:t xml:space="preserve">ating </w:t>
      </w:r>
      <w:r>
        <w:t>s</w:t>
      </w:r>
      <w:r w:rsidRPr="00B50BE2">
        <w:t xml:space="preserve">heet for </w:t>
      </w:r>
      <w:r w:rsidR="00004A6A">
        <w:t>administration</w:t>
      </w:r>
      <w:r w:rsidRPr="00B50BE2">
        <w:t xml:space="preserve"> </w:t>
      </w:r>
      <w:r>
        <w:t>se</w:t>
      </w:r>
      <w:r w:rsidRPr="00B50BE2">
        <w:t>rvices or similar rating sheet with weighted criteria.</w:t>
      </w:r>
    </w:p>
    <w:p w14:paraId="1B2BAEB6" w14:textId="77777777" w:rsidR="00F134B0" w:rsidRPr="00B50BE2" w:rsidRDefault="00F134B0" w:rsidP="00D71DC7">
      <w:pPr>
        <w:ind w:firstLine="720"/>
        <w:jc w:val="both"/>
        <w:rPr>
          <w:rFonts w:cs="Arial"/>
          <w:szCs w:val="22"/>
        </w:rPr>
      </w:pPr>
    </w:p>
    <w:p w14:paraId="11CB428D" w14:textId="7BA90325" w:rsidR="000C6B4E" w:rsidRPr="00777C0C" w:rsidRDefault="000C6B4E" w:rsidP="002B05E9">
      <w:pPr>
        <w:ind w:firstLine="360"/>
        <w:jc w:val="both"/>
        <w:rPr>
          <w:rFonts w:cs="Arial"/>
          <w:szCs w:val="22"/>
        </w:rPr>
      </w:pPr>
      <w:r w:rsidRPr="00777C0C">
        <w:rPr>
          <w:rFonts w:cs="Arial"/>
          <w:szCs w:val="22"/>
        </w:rPr>
        <w:t xml:space="preserve">The RFP should also request the following: </w:t>
      </w:r>
    </w:p>
    <w:p w14:paraId="3DC4DD29" w14:textId="77777777" w:rsidR="000C6B4E" w:rsidRPr="00D0610E" w:rsidRDefault="000C6B4E" w:rsidP="005F4682">
      <w:pPr>
        <w:pStyle w:val="BULLETS"/>
        <w:numPr>
          <w:ilvl w:val="0"/>
          <w:numId w:val="30"/>
        </w:numPr>
        <w:spacing w:line="240" w:lineRule="auto"/>
        <w:ind w:left="720"/>
      </w:pPr>
      <w:r w:rsidRPr="00D0610E">
        <w:t xml:space="preserve">A statement of </w:t>
      </w:r>
      <w:proofErr w:type="gramStart"/>
      <w:r w:rsidRPr="00D0610E">
        <w:t>qualifications</w:t>
      </w:r>
      <w:r>
        <w:t>;</w:t>
      </w:r>
      <w:proofErr w:type="gramEnd"/>
    </w:p>
    <w:p w14:paraId="446541BD" w14:textId="7BCAAC04" w:rsidR="000C6B4E" w:rsidRPr="00D0610E" w:rsidRDefault="000C6B4E" w:rsidP="005F4682">
      <w:pPr>
        <w:pStyle w:val="BULLETS"/>
        <w:numPr>
          <w:ilvl w:val="0"/>
          <w:numId w:val="30"/>
        </w:numPr>
        <w:spacing w:line="240" w:lineRule="auto"/>
        <w:ind w:left="720"/>
      </w:pPr>
      <w:r w:rsidRPr="00D0610E">
        <w:t>Proposed cost of services/fee structure</w:t>
      </w:r>
      <w:r w:rsidR="008D4316">
        <w:t xml:space="preserve"> (required</w:t>
      </w:r>
      <w:proofErr w:type="gramStart"/>
      <w:r w:rsidR="008D4316">
        <w:t>)</w:t>
      </w:r>
      <w:r>
        <w:t>;</w:t>
      </w:r>
      <w:proofErr w:type="gramEnd"/>
    </w:p>
    <w:p w14:paraId="7B97D350" w14:textId="77777777" w:rsidR="000C6B4E" w:rsidRPr="00D0610E" w:rsidRDefault="000C6B4E" w:rsidP="005F4682">
      <w:pPr>
        <w:pStyle w:val="BULLETS"/>
        <w:numPr>
          <w:ilvl w:val="0"/>
          <w:numId w:val="30"/>
        </w:numPr>
        <w:spacing w:line="240" w:lineRule="auto"/>
        <w:ind w:left="720"/>
      </w:pPr>
      <w:r w:rsidRPr="00D0610E">
        <w:t xml:space="preserve">Related experience with federal </w:t>
      </w:r>
      <w:proofErr w:type="gramStart"/>
      <w:r w:rsidRPr="00D0610E">
        <w:t>programs</w:t>
      </w:r>
      <w:r>
        <w:t>;</w:t>
      </w:r>
      <w:proofErr w:type="gramEnd"/>
    </w:p>
    <w:p w14:paraId="0A92943C" w14:textId="77777777" w:rsidR="000C6B4E" w:rsidRPr="00D0610E" w:rsidRDefault="000C6B4E" w:rsidP="005F4682">
      <w:pPr>
        <w:pStyle w:val="BULLETS"/>
        <w:numPr>
          <w:ilvl w:val="0"/>
          <w:numId w:val="30"/>
        </w:numPr>
        <w:spacing w:line="240" w:lineRule="auto"/>
        <w:ind w:left="720"/>
      </w:pPr>
      <w:r w:rsidRPr="00D0610E">
        <w:t xml:space="preserve">Capacity to perform the specific proposed </w:t>
      </w:r>
      <w:proofErr w:type="gramStart"/>
      <w:r w:rsidRPr="00D0610E">
        <w:t>task</w:t>
      </w:r>
      <w:r>
        <w:t>;</w:t>
      </w:r>
      <w:proofErr w:type="gramEnd"/>
    </w:p>
    <w:p w14:paraId="344D7220" w14:textId="77777777" w:rsidR="000C6B4E" w:rsidRDefault="000C6B4E" w:rsidP="005F4682">
      <w:pPr>
        <w:pStyle w:val="BULLETS"/>
        <w:numPr>
          <w:ilvl w:val="0"/>
          <w:numId w:val="30"/>
        </w:numPr>
        <w:spacing w:line="240" w:lineRule="auto"/>
        <w:ind w:left="720"/>
        <w:rPr>
          <w:spacing w:val="2"/>
        </w:rPr>
      </w:pPr>
      <w:r w:rsidRPr="00FB6ABE">
        <w:rPr>
          <w:spacing w:val="2"/>
        </w:rPr>
        <w:t xml:space="preserve">Experience in developing and/or implementing civil rights/equal opportunity/fair </w:t>
      </w:r>
    </w:p>
    <w:p w14:paraId="1A201589" w14:textId="47DE44FC" w:rsidR="000C6B4E" w:rsidRPr="00FB6ABE" w:rsidRDefault="000C6B4E" w:rsidP="00D71DC7">
      <w:pPr>
        <w:pStyle w:val="BULLETS"/>
        <w:numPr>
          <w:ilvl w:val="0"/>
          <w:numId w:val="0"/>
        </w:numPr>
        <w:spacing w:line="240" w:lineRule="auto"/>
        <w:ind w:left="360" w:firstLine="360"/>
        <w:rPr>
          <w:spacing w:val="2"/>
        </w:rPr>
      </w:pPr>
      <w:r w:rsidRPr="00FB6ABE">
        <w:rPr>
          <w:spacing w:val="2"/>
        </w:rPr>
        <w:t>housing activities</w:t>
      </w:r>
      <w:r>
        <w:rPr>
          <w:spacing w:val="2"/>
        </w:rPr>
        <w:t>;</w:t>
      </w:r>
      <w:r w:rsidR="00CA2C97">
        <w:rPr>
          <w:spacing w:val="2"/>
        </w:rPr>
        <w:t xml:space="preserve"> and </w:t>
      </w:r>
    </w:p>
    <w:p w14:paraId="5BE6EF6D" w14:textId="5C6CFAFC" w:rsidR="000C6B4E" w:rsidRDefault="000C6B4E" w:rsidP="005F4682">
      <w:pPr>
        <w:pStyle w:val="BULLETS"/>
        <w:numPr>
          <w:ilvl w:val="0"/>
          <w:numId w:val="30"/>
        </w:numPr>
        <w:spacing w:line="240" w:lineRule="auto"/>
        <w:ind w:left="720"/>
      </w:pPr>
      <w:r w:rsidRPr="009259A4">
        <w:t>References</w:t>
      </w:r>
      <w:r>
        <w:t>—</w:t>
      </w:r>
      <w:r w:rsidRPr="009259A4">
        <w:t>a list of past/current clients so that the proposals can be ranked based on past performance.</w:t>
      </w:r>
      <w:r>
        <w:t xml:space="preserve"> </w:t>
      </w:r>
      <w:r w:rsidRPr="009259A4">
        <w:t>The selection committee should contact these references and evaluate the respondent’s experience, work performance, and capacity to perform</w:t>
      </w:r>
      <w:r w:rsidR="00CA2C97">
        <w:t>.</w:t>
      </w:r>
    </w:p>
    <w:p w14:paraId="457C0D73" w14:textId="03BD1B24" w:rsidR="000C6B4E" w:rsidRDefault="000C6B4E" w:rsidP="005F4682">
      <w:pPr>
        <w:pStyle w:val="BULLETS"/>
        <w:numPr>
          <w:ilvl w:val="0"/>
          <w:numId w:val="30"/>
        </w:numPr>
        <w:spacing w:line="240" w:lineRule="auto"/>
        <w:ind w:left="720"/>
      </w:pPr>
      <w:r>
        <w:t>.</w:t>
      </w:r>
    </w:p>
    <w:p w14:paraId="24D53EAC" w14:textId="77777777" w:rsidR="00535FBA" w:rsidRPr="009259A4" w:rsidRDefault="00535FBA" w:rsidP="00D71DC7">
      <w:pPr>
        <w:pStyle w:val="BULLETS"/>
        <w:numPr>
          <w:ilvl w:val="0"/>
          <w:numId w:val="0"/>
        </w:numPr>
        <w:spacing w:line="240" w:lineRule="auto"/>
        <w:ind w:left="720"/>
      </w:pPr>
    </w:p>
    <w:p w14:paraId="45FDF4BD" w14:textId="5B324E3F" w:rsidR="000C6B4E" w:rsidRDefault="000C6B4E" w:rsidP="00D71DC7">
      <w:pPr>
        <w:pStyle w:val="ACDBGBODYArial11"/>
        <w:spacing w:line="240" w:lineRule="auto"/>
        <w:rPr>
          <w:lang w:val="en-US"/>
        </w:rPr>
      </w:pPr>
      <w:bookmarkStart w:id="25" w:name="_Hlk166849762"/>
      <w:r w:rsidRPr="00F51F44">
        <w:rPr>
          <w:b/>
          <w:bCs/>
          <w:lang w:val="en-US"/>
        </w:rPr>
        <w:t>BEST PRACTICE:</w:t>
      </w:r>
      <w:r>
        <w:rPr>
          <w:lang w:val="en-US"/>
        </w:rPr>
        <w:t xml:space="preserve"> </w:t>
      </w:r>
      <w:r w:rsidRPr="00B50BE2">
        <w:t xml:space="preserve">It is possible to solicit and procure for application preparation services and </w:t>
      </w:r>
      <w:r w:rsidR="00004A6A">
        <w:t>administration</w:t>
      </w:r>
      <w:r w:rsidRPr="00B50BE2">
        <w:t xml:space="preserve"> services in one step.</w:t>
      </w:r>
      <w:r>
        <w:rPr>
          <w:lang w:val="en-US"/>
        </w:rPr>
        <w:t xml:space="preserve"> </w:t>
      </w:r>
      <w:r w:rsidRPr="00B50BE2">
        <w:t xml:space="preserve">The RFP must clearly indicate that </w:t>
      </w:r>
      <w:r w:rsidR="00CA2C97">
        <w:t>proposals</w:t>
      </w:r>
      <w:r w:rsidRPr="00B50BE2">
        <w:t xml:space="preserve"> are being solicited for both application preparation and </w:t>
      </w:r>
      <w:r w:rsidR="00004A6A">
        <w:t>administration</w:t>
      </w:r>
      <w:r w:rsidRPr="00B50BE2">
        <w:t xml:space="preserve"> services, and must clearly separate the scope and cost of the services associated with preparing an application and the scope and cost associated with administration of the grant</w:t>
      </w:r>
      <w:bookmarkEnd w:id="25"/>
      <w:r w:rsidRPr="00B50BE2">
        <w:t>.</w:t>
      </w:r>
    </w:p>
    <w:p w14:paraId="3AA2D598" w14:textId="77777777" w:rsidR="000C6B4E" w:rsidRDefault="000C6B4E" w:rsidP="00D71DC7">
      <w:pPr>
        <w:pStyle w:val="ACDBGBODYArial11"/>
        <w:spacing w:line="240" w:lineRule="auto"/>
      </w:pPr>
    </w:p>
    <w:p w14:paraId="13E90761" w14:textId="77777777" w:rsidR="000C6B4E" w:rsidRPr="00981051" w:rsidRDefault="000C6B4E" w:rsidP="00D71DC7">
      <w:pPr>
        <w:pStyle w:val="ACDBGBODYArial11"/>
        <w:spacing w:line="240" w:lineRule="auto"/>
      </w:pPr>
      <w:r w:rsidRPr="00981051">
        <w:t xml:space="preserve">Costs associated with application preparation services are </w:t>
      </w:r>
      <w:r w:rsidRPr="00981051">
        <w:rPr>
          <w:lang w:val="en-US"/>
        </w:rPr>
        <w:t>not</w:t>
      </w:r>
      <w:r w:rsidRPr="00981051">
        <w:t xml:space="preserve"> eligible costs under the TxCDBG program.</w:t>
      </w:r>
    </w:p>
    <w:p w14:paraId="6DCCE1F0" w14:textId="77777777" w:rsidR="000C6B4E" w:rsidRDefault="000C6B4E" w:rsidP="00D71DC7">
      <w:pPr>
        <w:tabs>
          <w:tab w:val="num" w:pos="900"/>
          <w:tab w:val="num" w:pos="1800"/>
        </w:tabs>
        <w:jc w:val="both"/>
        <w:rPr>
          <w:rFonts w:cs="Arial"/>
          <w:szCs w:val="22"/>
          <w:u w:val="single"/>
        </w:rPr>
      </w:pPr>
    </w:p>
    <w:p w14:paraId="68049BE3" w14:textId="1279CB87" w:rsidR="000C6B4E" w:rsidRDefault="000C6B4E" w:rsidP="005F4682">
      <w:pPr>
        <w:pStyle w:val="ACDBGBODYArial11"/>
        <w:numPr>
          <w:ilvl w:val="0"/>
          <w:numId w:val="8"/>
        </w:numPr>
        <w:spacing w:line="240" w:lineRule="auto"/>
        <w:ind w:left="360"/>
      </w:pPr>
      <w:r w:rsidRPr="00ED268C">
        <w:rPr>
          <w:b/>
          <w:bCs/>
        </w:rPr>
        <w:t>Sample Contract:</w:t>
      </w:r>
      <w:r>
        <w:rPr>
          <w:lang w:val="en-US"/>
        </w:rPr>
        <w:t xml:space="preserve"> </w:t>
      </w:r>
      <w:r w:rsidRPr="00E839FA">
        <w:t>A sample professional services/</w:t>
      </w:r>
      <w:r w:rsidR="00004A6A">
        <w:t>administration</w:t>
      </w:r>
      <w:r w:rsidRPr="00E839FA">
        <w:t xml:space="preserve"> services contract containing the terms and conditions of the contract between the </w:t>
      </w:r>
      <w:r w:rsidRPr="00494D17">
        <w:t xml:space="preserve">Grant </w:t>
      </w:r>
      <w:r>
        <w:rPr>
          <w:lang w:val="en-US"/>
        </w:rPr>
        <w:t>Recipient</w:t>
      </w:r>
      <w:r w:rsidRPr="00794F41">
        <w:t xml:space="preserve"> </w:t>
      </w:r>
      <w:r w:rsidRPr="00E839FA">
        <w:t xml:space="preserve">and the service provider should be provided as part of the RFP package. </w:t>
      </w:r>
    </w:p>
    <w:p w14:paraId="13DD3C4B" w14:textId="77777777" w:rsidR="000C6B4E" w:rsidRDefault="000C6B4E" w:rsidP="00D71DC7">
      <w:pPr>
        <w:tabs>
          <w:tab w:val="num" w:pos="900"/>
          <w:tab w:val="num" w:pos="1800"/>
        </w:tabs>
        <w:jc w:val="both"/>
        <w:rPr>
          <w:rFonts w:cs="Arial"/>
          <w:szCs w:val="22"/>
        </w:rPr>
      </w:pPr>
    </w:p>
    <w:p w14:paraId="295EC125" w14:textId="6006C739" w:rsidR="000C6B4E" w:rsidRPr="00E839FA" w:rsidRDefault="000C6B4E" w:rsidP="001052AC">
      <w:pPr>
        <w:tabs>
          <w:tab w:val="num" w:pos="900"/>
          <w:tab w:val="num" w:pos="1800"/>
        </w:tabs>
        <w:ind w:left="720" w:hanging="360"/>
        <w:jc w:val="both"/>
        <w:rPr>
          <w:rFonts w:cs="Arial"/>
          <w:szCs w:val="22"/>
        </w:rPr>
      </w:pPr>
      <w:r w:rsidRPr="00E839FA">
        <w:rPr>
          <w:rFonts w:cs="Arial"/>
          <w:szCs w:val="22"/>
        </w:rPr>
        <w:t xml:space="preserve">This contract should contain four parts: </w:t>
      </w:r>
    </w:p>
    <w:p w14:paraId="33246F40" w14:textId="77777777" w:rsidR="000C6B4E" w:rsidRPr="00E839FA" w:rsidRDefault="000C6B4E" w:rsidP="005F4682">
      <w:pPr>
        <w:pStyle w:val="BULLETS"/>
        <w:numPr>
          <w:ilvl w:val="0"/>
          <w:numId w:val="29"/>
        </w:numPr>
        <w:spacing w:line="240" w:lineRule="auto"/>
        <w:ind w:left="720"/>
      </w:pPr>
      <w:r w:rsidRPr="00E839FA">
        <w:t>Part I - Agreement</w:t>
      </w:r>
    </w:p>
    <w:p w14:paraId="17CCB6AE" w14:textId="77777777" w:rsidR="000C6B4E" w:rsidRPr="00E839FA" w:rsidRDefault="000C6B4E" w:rsidP="005F4682">
      <w:pPr>
        <w:pStyle w:val="BULLETS"/>
        <w:numPr>
          <w:ilvl w:val="0"/>
          <w:numId w:val="29"/>
        </w:numPr>
        <w:spacing w:line="240" w:lineRule="auto"/>
        <w:ind w:left="720"/>
      </w:pPr>
      <w:r w:rsidRPr="00E839FA">
        <w:t>Part II - Scope of Work</w:t>
      </w:r>
    </w:p>
    <w:p w14:paraId="2388EF2E" w14:textId="77777777" w:rsidR="000C6B4E" w:rsidRPr="00E839FA" w:rsidRDefault="000C6B4E" w:rsidP="005F4682">
      <w:pPr>
        <w:pStyle w:val="BULLETS"/>
        <w:numPr>
          <w:ilvl w:val="0"/>
          <w:numId w:val="29"/>
        </w:numPr>
        <w:spacing w:line="240" w:lineRule="auto"/>
        <w:ind w:left="720"/>
      </w:pPr>
      <w:r w:rsidRPr="00E839FA">
        <w:t>Part III - Payment Schedule</w:t>
      </w:r>
    </w:p>
    <w:p w14:paraId="574C7381" w14:textId="77777777" w:rsidR="000C6B4E" w:rsidRPr="00E839FA" w:rsidRDefault="000C6B4E" w:rsidP="005F4682">
      <w:pPr>
        <w:pStyle w:val="BULLETS"/>
        <w:numPr>
          <w:ilvl w:val="0"/>
          <w:numId w:val="29"/>
        </w:numPr>
        <w:spacing w:line="240" w:lineRule="auto"/>
        <w:ind w:left="720"/>
      </w:pPr>
      <w:r w:rsidRPr="00E839FA">
        <w:t>Part IV - Terms and Conditions</w:t>
      </w:r>
    </w:p>
    <w:p w14:paraId="2AF7F3C1" w14:textId="77777777" w:rsidR="000C6B4E" w:rsidRDefault="000C6B4E" w:rsidP="00D71DC7">
      <w:pPr>
        <w:pStyle w:val="Arial11BOLD"/>
        <w:ind w:right="-162"/>
      </w:pPr>
    </w:p>
    <w:p w14:paraId="7B472E51" w14:textId="77777777" w:rsidR="008D4316" w:rsidRDefault="000C6B4E" w:rsidP="009333F8">
      <w:pPr>
        <w:pStyle w:val="Arial11BOLD"/>
        <w:ind w:right="-162"/>
      </w:pPr>
      <w:r>
        <w:t xml:space="preserve">Step </w:t>
      </w:r>
      <w:r w:rsidRPr="00803FDB">
        <w:t>4.2</w:t>
      </w:r>
      <w:r>
        <w:t xml:space="preserve">. </w:t>
      </w:r>
      <w:r w:rsidRPr="00803FDB">
        <w:t>RFQ for</w:t>
      </w:r>
      <w:r>
        <w:t xml:space="preserve"> Professional Services, Including</w:t>
      </w:r>
      <w:r w:rsidRPr="00803FDB">
        <w:t xml:space="preserve"> Architectural/</w:t>
      </w:r>
      <w:r w:rsidR="00F8604A" w:rsidRPr="00F8604A">
        <w:t xml:space="preserve"> </w:t>
      </w:r>
      <w:r w:rsidR="00F8604A" w:rsidRPr="00803FDB">
        <w:t>Engineering/</w:t>
      </w:r>
      <w:r w:rsidRPr="00803FDB">
        <w:t>Surveyor Services</w:t>
      </w:r>
    </w:p>
    <w:p w14:paraId="7DAEC0B9" w14:textId="73AE2826" w:rsidR="006B1540" w:rsidRPr="00322429" w:rsidRDefault="006B1540" w:rsidP="009333F8">
      <w:pPr>
        <w:pStyle w:val="Arial11BOLD"/>
        <w:ind w:right="-162"/>
      </w:pPr>
    </w:p>
    <w:p w14:paraId="450F9A0B" w14:textId="77777777" w:rsidR="000C6B4E" w:rsidRPr="00602014" w:rsidRDefault="000C6B4E" w:rsidP="005F4682">
      <w:pPr>
        <w:pStyle w:val="ACDBGBODYArial11"/>
        <w:numPr>
          <w:ilvl w:val="0"/>
          <w:numId w:val="9"/>
        </w:numPr>
        <w:spacing w:line="240" w:lineRule="auto"/>
        <w:ind w:left="360"/>
      </w:pPr>
      <w:r w:rsidRPr="00ED268C">
        <w:rPr>
          <w:b/>
          <w:bCs/>
        </w:rPr>
        <w:t>Cover Letter:</w:t>
      </w:r>
      <w:r w:rsidRPr="00602014">
        <w:t xml:space="preserve"> The purpose of this letter is to solicit proposals</w:t>
      </w:r>
      <w:r>
        <w:rPr>
          <w:lang w:val="en-US"/>
        </w:rPr>
        <w:t>/statements of qualifications</w:t>
      </w:r>
      <w:r w:rsidRPr="00602014">
        <w:t xml:space="preserve"> from interested parties. This can be tailored to the Grant </w:t>
      </w:r>
      <w:r>
        <w:rPr>
          <w:lang w:val="en-US"/>
        </w:rPr>
        <w:t>Recipient’s</w:t>
      </w:r>
      <w:r w:rsidRPr="00602014">
        <w:t xml:space="preserve"> specific project. </w:t>
      </w:r>
    </w:p>
    <w:p w14:paraId="7573C4E7" w14:textId="77777777" w:rsidR="000A6D77" w:rsidRDefault="000A6D77" w:rsidP="00D71DC7"/>
    <w:p w14:paraId="029582D9" w14:textId="245B0DE5" w:rsidR="000C6B4E" w:rsidRDefault="000C6B4E" w:rsidP="005F4682">
      <w:pPr>
        <w:pStyle w:val="ACDBGBODYArial11"/>
        <w:numPr>
          <w:ilvl w:val="0"/>
          <w:numId w:val="9"/>
        </w:numPr>
        <w:spacing w:line="240" w:lineRule="auto"/>
        <w:ind w:left="450"/>
        <w:rPr>
          <w:spacing w:val="-2"/>
        </w:rPr>
      </w:pPr>
      <w:r>
        <w:rPr>
          <w:b/>
          <w:bCs/>
          <w:lang w:val="en-US"/>
        </w:rPr>
        <w:t>R</w:t>
      </w:r>
      <w:proofErr w:type="spellStart"/>
      <w:r w:rsidRPr="00ED268C">
        <w:rPr>
          <w:b/>
          <w:bCs/>
        </w:rPr>
        <w:t>equest</w:t>
      </w:r>
      <w:proofErr w:type="spellEnd"/>
      <w:r w:rsidRPr="00ED268C">
        <w:rPr>
          <w:b/>
          <w:bCs/>
        </w:rPr>
        <w:t xml:space="preserve"> for Qualifications (RFQ):</w:t>
      </w:r>
      <w:r>
        <w:rPr>
          <w:lang w:val="en-US"/>
        </w:rPr>
        <w:t xml:space="preserve"> </w:t>
      </w:r>
      <w:r w:rsidRPr="00602014">
        <w:t xml:space="preserve">The RFQ for </w:t>
      </w:r>
      <w:r>
        <w:rPr>
          <w:lang w:val="en-US"/>
        </w:rPr>
        <w:t>professional services</w:t>
      </w:r>
      <w:r w:rsidRPr="00602014">
        <w:t xml:space="preserve"> </w:t>
      </w:r>
      <w:r w:rsidRPr="00D53F49">
        <w:rPr>
          <w:spacing w:val="-2"/>
        </w:rPr>
        <w:t xml:space="preserve">provides detailed </w:t>
      </w:r>
    </w:p>
    <w:p w14:paraId="25D67931" w14:textId="77777777" w:rsidR="00777C0C" w:rsidRDefault="000C6B4E" w:rsidP="00D71DC7">
      <w:pPr>
        <w:ind w:left="360"/>
        <w:jc w:val="both"/>
        <w:rPr>
          <w:spacing w:val="-2"/>
        </w:rPr>
      </w:pPr>
      <w:r w:rsidRPr="00D53F49">
        <w:rPr>
          <w:spacing w:val="-2"/>
        </w:rPr>
        <w:t>instructions to respondents and the criteria to be used in evaluating proposals.</w:t>
      </w:r>
    </w:p>
    <w:p w14:paraId="70506310" w14:textId="77777777" w:rsidR="00777C0C" w:rsidRDefault="00777C0C" w:rsidP="00D71DC7">
      <w:pPr>
        <w:ind w:left="360"/>
        <w:jc w:val="both"/>
        <w:rPr>
          <w:rFonts w:cs="Arial"/>
          <w:szCs w:val="22"/>
        </w:rPr>
      </w:pPr>
    </w:p>
    <w:p w14:paraId="6C14D9CF" w14:textId="7975A204" w:rsidR="000C6B4E" w:rsidRPr="00777C0C" w:rsidRDefault="000C6B4E" w:rsidP="00D71DC7">
      <w:pPr>
        <w:ind w:left="360"/>
        <w:jc w:val="both"/>
        <w:rPr>
          <w:rFonts w:cs="Arial"/>
          <w:szCs w:val="22"/>
        </w:rPr>
      </w:pPr>
      <w:r w:rsidRPr="00777C0C">
        <w:rPr>
          <w:rFonts w:cs="Arial"/>
          <w:szCs w:val="22"/>
        </w:rPr>
        <w:t xml:space="preserve">The RFQ </w:t>
      </w:r>
      <w:r w:rsidR="00733BCC" w:rsidRPr="00777C0C">
        <w:rPr>
          <w:rFonts w:cs="Arial"/>
          <w:szCs w:val="22"/>
        </w:rPr>
        <w:t xml:space="preserve">must </w:t>
      </w:r>
      <w:r w:rsidRPr="00777C0C">
        <w:rPr>
          <w:rFonts w:cs="Arial"/>
          <w:szCs w:val="22"/>
        </w:rPr>
        <w:t>include the following components:</w:t>
      </w:r>
    </w:p>
    <w:p w14:paraId="76F4C977" w14:textId="77777777" w:rsidR="000C6B4E" w:rsidRDefault="000C6B4E" w:rsidP="005F4682">
      <w:pPr>
        <w:pStyle w:val="BULLETS"/>
        <w:numPr>
          <w:ilvl w:val="0"/>
          <w:numId w:val="28"/>
        </w:numPr>
        <w:spacing w:line="240" w:lineRule="auto"/>
        <w:ind w:left="720"/>
      </w:pPr>
      <w:r w:rsidRPr="00602014">
        <w:t>The request for qualifications, including specifications and attachments, must clearly describe the scope of services required and identify the factors that will be used to evaluate proposals.</w:t>
      </w:r>
    </w:p>
    <w:p w14:paraId="6879E1F5" w14:textId="5E70E4E5" w:rsidR="00163989" w:rsidRPr="00602014" w:rsidRDefault="00163989" w:rsidP="00777C0C">
      <w:pPr>
        <w:pStyle w:val="BULLETS"/>
        <w:numPr>
          <w:ilvl w:val="0"/>
          <w:numId w:val="28"/>
        </w:numPr>
        <w:spacing w:line="240" w:lineRule="auto"/>
        <w:ind w:left="720"/>
      </w:pPr>
      <w:r w:rsidRPr="00163989">
        <w:t xml:space="preserve">Either the sample </w:t>
      </w:r>
      <w:r>
        <w:t xml:space="preserve">engineer/architect/surveyor </w:t>
      </w:r>
      <w:r w:rsidRPr="00163989">
        <w:t xml:space="preserve">rating sheet for </w:t>
      </w:r>
      <w:r>
        <w:t xml:space="preserve">professional </w:t>
      </w:r>
      <w:r w:rsidRPr="00163989">
        <w:t xml:space="preserve">services or </w:t>
      </w:r>
      <w:proofErr w:type="gramStart"/>
      <w:r w:rsidRPr="00163989">
        <w:t xml:space="preserve">similar </w:t>
      </w:r>
      <w:r w:rsidR="00D6432D">
        <w:t xml:space="preserve"> </w:t>
      </w:r>
      <w:r w:rsidRPr="00163989">
        <w:t>rating</w:t>
      </w:r>
      <w:proofErr w:type="gramEnd"/>
      <w:r w:rsidRPr="00163989">
        <w:t xml:space="preserve"> sheet with weighted criteria.</w:t>
      </w:r>
    </w:p>
    <w:p w14:paraId="118ABCE8" w14:textId="77777777" w:rsidR="00777C0C" w:rsidRDefault="00777C0C" w:rsidP="00777C0C">
      <w:pPr>
        <w:pStyle w:val="BULLETS"/>
        <w:numPr>
          <w:ilvl w:val="0"/>
          <w:numId w:val="0"/>
        </w:numPr>
        <w:spacing w:line="240" w:lineRule="auto"/>
        <w:ind w:left="720"/>
      </w:pPr>
    </w:p>
    <w:p w14:paraId="1D047767" w14:textId="39CD3C2F" w:rsidR="000C6B4E" w:rsidRPr="00602014" w:rsidRDefault="000C6B4E" w:rsidP="002B05E9">
      <w:pPr>
        <w:pStyle w:val="BULLETS"/>
        <w:numPr>
          <w:ilvl w:val="0"/>
          <w:numId w:val="0"/>
        </w:numPr>
        <w:spacing w:line="240" w:lineRule="auto"/>
        <w:ind w:left="360"/>
      </w:pPr>
      <w:r w:rsidRPr="00602014">
        <w:t xml:space="preserve">The RFQ should request that the proposal include/address the following factors: </w:t>
      </w:r>
    </w:p>
    <w:p w14:paraId="4F65738C" w14:textId="3B1CFCFC" w:rsidR="000C6B4E" w:rsidRPr="00322429" w:rsidRDefault="000C6B4E" w:rsidP="00777C0C">
      <w:pPr>
        <w:pStyle w:val="BULLETS"/>
        <w:numPr>
          <w:ilvl w:val="0"/>
          <w:numId w:val="45"/>
        </w:numPr>
        <w:spacing w:line="240" w:lineRule="auto"/>
        <w:ind w:left="720"/>
      </w:pPr>
      <w:r w:rsidRPr="00322429">
        <w:t xml:space="preserve">Statement of </w:t>
      </w:r>
      <w:proofErr w:type="gramStart"/>
      <w:r w:rsidRPr="00322429">
        <w:t>qualifications</w:t>
      </w:r>
      <w:r w:rsidR="00163989">
        <w:t>;</w:t>
      </w:r>
      <w:proofErr w:type="gramEnd"/>
    </w:p>
    <w:p w14:paraId="020EA67E" w14:textId="3C1076D8" w:rsidR="000C6B4E" w:rsidRPr="00322429" w:rsidRDefault="000C6B4E" w:rsidP="00777C0C">
      <w:pPr>
        <w:pStyle w:val="BULLETS"/>
        <w:numPr>
          <w:ilvl w:val="0"/>
          <w:numId w:val="45"/>
        </w:numPr>
        <w:spacing w:line="240" w:lineRule="auto"/>
        <w:ind w:left="720"/>
      </w:pPr>
      <w:r w:rsidRPr="00322429">
        <w:t xml:space="preserve">Work </w:t>
      </w:r>
      <w:proofErr w:type="gramStart"/>
      <w:r w:rsidRPr="00322429">
        <w:t>experience</w:t>
      </w:r>
      <w:r w:rsidR="00163989">
        <w:t>;</w:t>
      </w:r>
      <w:proofErr w:type="gramEnd"/>
    </w:p>
    <w:p w14:paraId="0715E114" w14:textId="308F1AC2" w:rsidR="000C6B4E" w:rsidRPr="00322429" w:rsidRDefault="000C6B4E" w:rsidP="00777C0C">
      <w:pPr>
        <w:pStyle w:val="BULLETS"/>
        <w:numPr>
          <w:ilvl w:val="0"/>
          <w:numId w:val="45"/>
        </w:numPr>
        <w:spacing w:line="240" w:lineRule="auto"/>
        <w:ind w:left="720"/>
      </w:pPr>
      <w:r w:rsidRPr="00322429">
        <w:t xml:space="preserve">Capacity to perform the specific proposed </w:t>
      </w:r>
      <w:proofErr w:type="gramStart"/>
      <w:r w:rsidRPr="00322429">
        <w:t>task</w:t>
      </w:r>
      <w:r w:rsidR="00163989">
        <w:t>;</w:t>
      </w:r>
      <w:proofErr w:type="gramEnd"/>
    </w:p>
    <w:p w14:paraId="6D6883AC" w14:textId="3A8F0AD1" w:rsidR="000C6B4E" w:rsidRPr="00322429" w:rsidRDefault="000C6B4E" w:rsidP="00777C0C">
      <w:pPr>
        <w:pStyle w:val="BULLETS"/>
        <w:numPr>
          <w:ilvl w:val="0"/>
          <w:numId w:val="45"/>
        </w:numPr>
        <w:spacing w:line="240" w:lineRule="auto"/>
        <w:ind w:left="720"/>
      </w:pPr>
      <w:r w:rsidRPr="00322429">
        <w:t xml:space="preserve">Technical </w:t>
      </w:r>
      <w:proofErr w:type="gramStart"/>
      <w:r w:rsidRPr="00322429">
        <w:t>expertise</w:t>
      </w:r>
      <w:r w:rsidR="00163989">
        <w:t>;</w:t>
      </w:r>
      <w:proofErr w:type="gramEnd"/>
    </w:p>
    <w:p w14:paraId="5D905249" w14:textId="191853C6" w:rsidR="000C6B4E" w:rsidRPr="00322429" w:rsidRDefault="000C6B4E" w:rsidP="00777C0C">
      <w:pPr>
        <w:pStyle w:val="BULLETS"/>
        <w:numPr>
          <w:ilvl w:val="0"/>
          <w:numId w:val="45"/>
        </w:numPr>
        <w:spacing w:line="240" w:lineRule="auto"/>
        <w:ind w:left="720"/>
      </w:pPr>
      <w:r w:rsidRPr="00322429">
        <w:t xml:space="preserve">Ability to meet </w:t>
      </w:r>
      <w:proofErr w:type="gramStart"/>
      <w:r w:rsidRPr="00322429">
        <w:t>schedules</w:t>
      </w:r>
      <w:r w:rsidR="00C15EAF">
        <w:t>;</w:t>
      </w:r>
      <w:proofErr w:type="gramEnd"/>
    </w:p>
    <w:p w14:paraId="04B1B255" w14:textId="326AE331" w:rsidR="000C6B4E" w:rsidRPr="00322429" w:rsidRDefault="000C6B4E" w:rsidP="00777C0C">
      <w:pPr>
        <w:pStyle w:val="BULLETS"/>
        <w:numPr>
          <w:ilvl w:val="0"/>
          <w:numId w:val="45"/>
        </w:numPr>
        <w:spacing w:line="240" w:lineRule="auto"/>
        <w:ind w:left="720"/>
      </w:pPr>
      <w:r w:rsidRPr="00322429">
        <w:t xml:space="preserve">Proximity to the area of the proposed </w:t>
      </w:r>
      <w:proofErr w:type="gramStart"/>
      <w:r w:rsidRPr="00322429">
        <w:t>work</w:t>
      </w:r>
      <w:r w:rsidR="00C15EAF">
        <w:t>;</w:t>
      </w:r>
      <w:proofErr w:type="gramEnd"/>
    </w:p>
    <w:p w14:paraId="30132B5D" w14:textId="50180400" w:rsidR="000C6B4E" w:rsidRPr="00322429" w:rsidRDefault="000C6B4E" w:rsidP="00777C0C">
      <w:pPr>
        <w:pStyle w:val="BULLETS"/>
        <w:numPr>
          <w:ilvl w:val="0"/>
          <w:numId w:val="45"/>
        </w:numPr>
        <w:spacing w:line="240" w:lineRule="auto"/>
        <w:ind w:left="720"/>
      </w:pPr>
      <w:r w:rsidRPr="00322429">
        <w:t>Familiarity with the area of the proposed work</w:t>
      </w:r>
      <w:r w:rsidR="00C15EAF">
        <w:t>; and</w:t>
      </w:r>
    </w:p>
    <w:p w14:paraId="6A73695F" w14:textId="235B3076" w:rsidR="000C6B4E" w:rsidRPr="00322429" w:rsidRDefault="000C6B4E" w:rsidP="00777C0C">
      <w:pPr>
        <w:pStyle w:val="BULLETS"/>
        <w:numPr>
          <w:ilvl w:val="0"/>
          <w:numId w:val="45"/>
        </w:numPr>
        <w:spacing w:line="240" w:lineRule="auto"/>
        <w:ind w:left="720"/>
      </w:pPr>
      <w:r w:rsidRPr="00322429">
        <w:t>References</w:t>
      </w:r>
      <w:r w:rsidR="000A6D77">
        <w:t xml:space="preserve"> </w:t>
      </w:r>
      <w:r>
        <w:t>—</w:t>
      </w:r>
      <w:r w:rsidR="000A6D77">
        <w:t xml:space="preserve"> </w:t>
      </w:r>
      <w:r>
        <w:t xml:space="preserve">a </w:t>
      </w:r>
      <w:r w:rsidRPr="00322429">
        <w:t>list of past/current clients</w:t>
      </w:r>
      <w:r>
        <w:t xml:space="preserve"> </w:t>
      </w:r>
    </w:p>
    <w:p w14:paraId="24749654" w14:textId="77777777" w:rsidR="008D4316" w:rsidRDefault="008D4316" w:rsidP="00D71DC7">
      <w:pPr>
        <w:tabs>
          <w:tab w:val="num" w:pos="1800"/>
        </w:tabs>
        <w:jc w:val="both"/>
        <w:rPr>
          <w:rFonts w:cs="Arial"/>
          <w:szCs w:val="22"/>
          <w:u w:val="single"/>
        </w:rPr>
      </w:pPr>
    </w:p>
    <w:p w14:paraId="353EADA9" w14:textId="77777777" w:rsidR="008D4316" w:rsidRPr="00B50BE2" w:rsidRDefault="008D4316" w:rsidP="008D4316">
      <w:pPr>
        <w:jc w:val="both"/>
        <w:rPr>
          <w:rFonts w:cs="Arial"/>
          <w:szCs w:val="22"/>
        </w:rPr>
      </w:pPr>
      <w:r w:rsidRPr="00B50BE2">
        <w:rPr>
          <w:rFonts w:cs="Arial"/>
          <w:szCs w:val="22"/>
        </w:rPr>
        <w:t xml:space="preserve">Samples of each </w:t>
      </w:r>
      <w:r>
        <w:rPr>
          <w:rFonts w:cs="Arial"/>
          <w:szCs w:val="22"/>
        </w:rPr>
        <w:t xml:space="preserve">of the </w:t>
      </w:r>
      <w:r w:rsidRPr="00B50BE2">
        <w:rPr>
          <w:rFonts w:cs="Arial"/>
          <w:szCs w:val="22"/>
        </w:rPr>
        <w:t xml:space="preserve">required documents are found in </w:t>
      </w:r>
      <w:r w:rsidRPr="00D71DC7">
        <w:rPr>
          <w:rFonts w:cs="Arial"/>
          <w:i/>
          <w:iCs/>
          <w:szCs w:val="22"/>
        </w:rPr>
        <w:t xml:space="preserve">Appendix </w:t>
      </w:r>
      <w:r>
        <w:rPr>
          <w:rFonts w:cs="Arial"/>
          <w:i/>
          <w:iCs/>
          <w:szCs w:val="22"/>
        </w:rPr>
        <w:t>E</w:t>
      </w:r>
      <w:r>
        <w:rPr>
          <w:rFonts w:cs="Arial"/>
          <w:b/>
          <w:szCs w:val="22"/>
        </w:rPr>
        <w:t>.</w:t>
      </w:r>
    </w:p>
    <w:p w14:paraId="689E5280" w14:textId="7462562C" w:rsidR="000C6B4E" w:rsidRDefault="000C6B4E" w:rsidP="00D71DC7">
      <w:pPr>
        <w:tabs>
          <w:tab w:val="num" w:pos="1800"/>
        </w:tabs>
        <w:jc w:val="both"/>
        <w:rPr>
          <w:rFonts w:cs="Arial"/>
          <w:szCs w:val="22"/>
          <w:u w:val="single"/>
        </w:rPr>
      </w:pPr>
    </w:p>
    <w:p w14:paraId="3D37AD41" w14:textId="71653353" w:rsidR="002526EA" w:rsidRDefault="00074B08" w:rsidP="00D71DC7">
      <w:pPr>
        <w:tabs>
          <w:tab w:val="num" w:pos="1800"/>
        </w:tabs>
        <w:jc w:val="both"/>
        <w:rPr>
          <w:rFonts w:cs="Arial"/>
          <w:szCs w:val="22"/>
          <w:u w:val="single"/>
        </w:rPr>
      </w:pPr>
      <w:r w:rsidRPr="00CC3964">
        <w:rPr>
          <w:rFonts w:cs="Arial"/>
          <w:b/>
          <w:bCs/>
          <w:szCs w:val="22"/>
          <w:u w:val="single"/>
        </w:rPr>
        <w:t>BEST PRACTICE:</w:t>
      </w:r>
      <w:r w:rsidR="00CC3964">
        <w:rPr>
          <w:rFonts w:cs="Arial"/>
          <w:szCs w:val="22"/>
          <w:u w:val="single"/>
        </w:rPr>
        <w:t xml:space="preserve"> </w:t>
      </w:r>
      <w:r w:rsidRPr="00074B08">
        <w:rPr>
          <w:rFonts w:cs="Arial"/>
          <w:szCs w:val="22"/>
          <w:u w:val="single"/>
        </w:rPr>
        <w:t>It is possible to solicit and procure for preliminary engineering services</w:t>
      </w:r>
      <w:r w:rsidR="00C62AC2">
        <w:rPr>
          <w:rFonts w:cs="Arial"/>
          <w:szCs w:val="22"/>
          <w:u w:val="single"/>
        </w:rPr>
        <w:t xml:space="preserve"> (application services)</w:t>
      </w:r>
      <w:r w:rsidRPr="00074B08">
        <w:rPr>
          <w:rFonts w:cs="Arial"/>
          <w:szCs w:val="22"/>
          <w:u w:val="single"/>
        </w:rPr>
        <w:t xml:space="preserve"> and design engineering services</w:t>
      </w:r>
      <w:r w:rsidR="00C62AC2">
        <w:rPr>
          <w:rFonts w:cs="Arial"/>
          <w:szCs w:val="22"/>
          <w:u w:val="single"/>
        </w:rPr>
        <w:t xml:space="preserve"> (project implementation) </w:t>
      </w:r>
      <w:r w:rsidRPr="00074B08">
        <w:rPr>
          <w:rFonts w:cs="Arial"/>
          <w:szCs w:val="22"/>
          <w:u w:val="single"/>
        </w:rPr>
        <w:t xml:space="preserve">in one step. A preliminary engineering report, such as the </w:t>
      </w:r>
      <w:r w:rsidRPr="00074B08">
        <w:rPr>
          <w:rFonts w:cs="Arial"/>
          <w:i/>
          <w:iCs/>
          <w:szCs w:val="22"/>
          <w:u w:val="single"/>
        </w:rPr>
        <w:t>Budget Details</w:t>
      </w:r>
      <w:r w:rsidRPr="00074B08">
        <w:rPr>
          <w:rFonts w:cs="Arial"/>
          <w:szCs w:val="22"/>
          <w:u w:val="single"/>
        </w:rPr>
        <w:t xml:space="preserve"> section of the TxCDBG application which consists of a budget justification identifying project activities/materials with cost estimates, must be prepared by a registered professional. The RFQ must clearly indicate that </w:t>
      </w:r>
      <w:r w:rsidR="00C62AC2">
        <w:rPr>
          <w:rFonts w:cs="Arial"/>
          <w:szCs w:val="22"/>
          <w:u w:val="single"/>
        </w:rPr>
        <w:t xml:space="preserve">proposals </w:t>
      </w:r>
      <w:r w:rsidRPr="00074B08">
        <w:rPr>
          <w:rFonts w:cs="Arial"/>
          <w:szCs w:val="22"/>
          <w:u w:val="single"/>
        </w:rPr>
        <w:t xml:space="preserve">are being solicited for </w:t>
      </w:r>
      <w:r w:rsidR="00C62AC2">
        <w:rPr>
          <w:rFonts w:cs="Arial"/>
          <w:szCs w:val="22"/>
          <w:u w:val="single"/>
        </w:rPr>
        <w:t xml:space="preserve">application </w:t>
      </w:r>
      <w:r w:rsidRPr="00074B08">
        <w:rPr>
          <w:rFonts w:cs="Arial"/>
          <w:szCs w:val="22"/>
          <w:u w:val="single"/>
        </w:rPr>
        <w:t xml:space="preserve">and </w:t>
      </w:r>
      <w:r w:rsidR="00C62AC2">
        <w:rPr>
          <w:rFonts w:cs="Arial"/>
          <w:szCs w:val="22"/>
          <w:u w:val="single"/>
        </w:rPr>
        <w:t xml:space="preserve">project implementation </w:t>
      </w:r>
      <w:r w:rsidRPr="00074B08">
        <w:rPr>
          <w:rFonts w:cs="Arial"/>
          <w:szCs w:val="22"/>
          <w:u w:val="single"/>
        </w:rPr>
        <w:t xml:space="preserve">and must clearly separate the scope of the services associated with preparing the preliminary engineering report for the TxCDBG application and the scope associated with </w:t>
      </w:r>
      <w:r w:rsidR="00D6432D">
        <w:rPr>
          <w:rFonts w:cs="Arial"/>
          <w:szCs w:val="22"/>
          <w:u w:val="single"/>
        </w:rPr>
        <w:t xml:space="preserve">implementation consisting of </w:t>
      </w:r>
      <w:r w:rsidRPr="00074B08">
        <w:rPr>
          <w:rFonts w:cs="Arial"/>
          <w:szCs w:val="22"/>
          <w:u w:val="single"/>
        </w:rPr>
        <w:t>designing the plans and specifications for the project</w:t>
      </w:r>
      <w:r w:rsidR="002526EA">
        <w:rPr>
          <w:rFonts w:cs="Arial"/>
          <w:szCs w:val="22"/>
          <w:u w:val="single"/>
        </w:rPr>
        <w:t>.</w:t>
      </w:r>
    </w:p>
    <w:p w14:paraId="3BD5BFA5" w14:textId="77777777" w:rsidR="002526EA" w:rsidRDefault="002526EA" w:rsidP="00D71DC7">
      <w:pPr>
        <w:tabs>
          <w:tab w:val="num" w:pos="1800"/>
        </w:tabs>
        <w:jc w:val="both"/>
        <w:rPr>
          <w:rFonts w:cs="Arial"/>
          <w:szCs w:val="22"/>
          <w:u w:val="single"/>
        </w:rPr>
      </w:pPr>
    </w:p>
    <w:p w14:paraId="1718625C" w14:textId="0A4F28E3" w:rsidR="002526EA" w:rsidRPr="00981051" w:rsidRDefault="002526EA" w:rsidP="002526EA">
      <w:pPr>
        <w:pStyle w:val="ACDBGBODYArial11"/>
        <w:spacing w:line="240" w:lineRule="auto"/>
      </w:pPr>
      <w:r w:rsidRPr="00981051">
        <w:t xml:space="preserve">Costs associated with application preparation services are </w:t>
      </w:r>
      <w:r w:rsidRPr="00981051">
        <w:rPr>
          <w:lang w:val="en-US"/>
        </w:rPr>
        <w:t>not</w:t>
      </w:r>
      <w:r w:rsidRPr="00981051">
        <w:t xml:space="preserve"> eligible costs under the TxCDBG program.</w:t>
      </w:r>
    </w:p>
    <w:p w14:paraId="5DAD6DBA" w14:textId="1D821B19" w:rsidR="00C15EAF" w:rsidRDefault="00C15EAF" w:rsidP="00D71DC7">
      <w:pPr>
        <w:tabs>
          <w:tab w:val="num" w:pos="1800"/>
        </w:tabs>
        <w:jc w:val="both"/>
        <w:rPr>
          <w:rFonts w:cs="Arial"/>
          <w:szCs w:val="22"/>
          <w:u w:val="single"/>
        </w:rPr>
      </w:pPr>
    </w:p>
    <w:p w14:paraId="1CCFF568" w14:textId="51E69576" w:rsidR="000C6B4E" w:rsidRDefault="000C6B4E" w:rsidP="005F4682">
      <w:pPr>
        <w:pStyle w:val="ACDBGBODYArial11"/>
        <w:numPr>
          <w:ilvl w:val="0"/>
          <w:numId w:val="9"/>
        </w:numPr>
        <w:spacing w:line="240" w:lineRule="auto"/>
        <w:ind w:left="450"/>
      </w:pPr>
      <w:r w:rsidRPr="00181C38">
        <w:rPr>
          <w:b/>
          <w:bCs/>
        </w:rPr>
        <w:t>Sample Contract</w:t>
      </w:r>
      <w:r w:rsidRPr="00181C38">
        <w:t>:</w:t>
      </w:r>
      <w:r w:rsidRPr="00602014">
        <w:t xml:space="preserve"> </w:t>
      </w:r>
      <w:r w:rsidRPr="00322429">
        <w:t xml:space="preserve">A sample engineering/architecture/surveying services contract </w:t>
      </w:r>
    </w:p>
    <w:p w14:paraId="710668C0" w14:textId="7F5607FB" w:rsidR="000C6B4E" w:rsidRDefault="000C6B4E" w:rsidP="0031321F">
      <w:pPr>
        <w:pStyle w:val="ACDBGBODYArial11"/>
        <w:spacing w:line="240" w:lineRule="auto"/>
        <w:ind w:left="360" w:firstLine="90"/>
        <w:rPr>
          <w:spacing w:val="-2"/>
        </w:rPr>
      </w:pPr>
      <w:r w:rsidRPr="00322429">
        <w:t xml:space="preserve">containing </w:t>
      </w:r>
      <w:r w:rsidRPr="000043B3">
        <w:rPr>
          <w:spacing w:val="-2"/>
        </w:rPr>
        <w:t xml:space="preserve">the terms and conditions of the contract between the Grant </w:t>
      </w:r>
      <w:r>
        <w:rPr>
          <w:spacing w:val="-2"/>
          <w:lang w:val="en-US"/>
        </w:rPr>
        <w:t>Recipient</w:t>
      </w:r>
      <w:r w:rsidRPr="000043B3">
        <w:rPr>
          <w:spacing w:val="-2"/>
        </w:rPr>
        <w:t xml:space="preserve"> and the </w:t>
      </w:r>
    </w:p>
    <w:p w14:paraId="1DED8304" w14:textId="223B6C68" w:rsidR="000C6B4E" w:rsidRDefault="000C6B4E" w:rsidP="0031321F">
      <w:pPr>
        <w:pStyle w:val="ACDBGBODYArial11"/>
        <w:spacing w:line="240" w:lineRule="auto"/>
        <w:ind w:left="360" w:firstLine="90"/>
        <w:rPr>
          <w:spacing w:val="-2"/>
        </w:rPr>
      </w:pPr>
      <w:r w:rsidRPr="000043B3">
        <w:rPr>
          <w:spacing w:val="-2"/>
        </w:rPr>
        <w:t xml:space="preserve">service provider should be provided as part of the RFQ package. </w:t>
      </w:r>
    </w:p>
    <w:p w14:paraId="3B036134" w14:textId="77777777" w:rsidR="00535FBA" w:rsidRPr="00966814" w:rsidRDefault="00535FBA" w:rsidP="00D71DC7">
      <w:pPr>
        <w:pStyle w:val="ACDBGBODYArial11"/>
        <w:spacing w:line="240" w:lineRule="auto"/>
      </w:pPr>
    </w:p>
    <w:p w14:paraId="3BC7EE45" w14:textId="32991E27" w:rsidR="000C6B4E" w:rsidRPr="00A80467" w:rsidRDefault="000C6B4E" w:rsidP="0031321F">
      <w:pPr>
        <w:pStyle w:val="ACDBGBODYArial11"/>
        <w:spacing w:line="240" w:lineRule="auto"/>
        <w:ind w:firstLine="360"/>
        <w:rPr>
          <w:b/>
          <w:bCs/>
        </w:rPr>
      </w:pPr>
      <w:r w:rsidRPr="00A80467">
        <w:rPr>
          <w:b/>
          <w:bCs/>
        </w:rPr>
        <w:t>This contract should contain four parts:</w:t>
      </w:r>
    </w:p>
    <w:p w14:paraId="000CA14A" w14:textId="77777777" w:rsidR="000C6B4E" w:rsidRPr="00E45B41" w:rsidRDefault="000C6B4E" w:rsidP="005F4682">
      <w:pPr>
        <w:pStyle w:val="BULLETS"/>
        <w:numPr>
          <w:ilvl w:val="0"/>
          <w:numId w:val="27"/>
        </w:numPr>
        <w:spacing w:line="240" w:lineRule="auto"/>
        <w:ind w:left="720"/>
      </w:pPr>
      <w:r w:rsidRPr="00E45B41">
        <w:t>Part I - Agreement</w:t>
      </w:r>
    </w:p>
    <w:p w14:paraId="7F944DA6" w14:textId="77777777" w:rsidR="000C6B4E" w:rsidRPr="00E45B41" w:rsidRDefault="000C6B4E" w:rsidP="005F4682">
      <w:pPr>
        <w:pStyle w:val="BULLETS"/>
        <w:numPr>
          <w:ilvl w:val="0"/>
          <w:numId w:val="27"/>
        </w:numPr>
        <w:spacing w:line="240" w:lineRule="auto"/>
        <w:ind w:left="720"/>
      </w:pPr>
      <w:r w:rsidRPr="00E45B41">
        <w:t>Part II - Scope of Work</w:t>
      </w:r>
    </w:p>
    <w:p w14:paraId="7773DB3B" w14:textId="77777777" w:rsidR="000C6B4E" w:rsidRPr="00E45B41" w:rsidRDefault="000C6B4E" w:rsidP="005F4682">
      <w:pPr>
        <w:pStyle w:val="BULLETS"/>
        <w:numPr>
          <w:ilvl w:val="0"/>
          <w:numId w:val="27"/>
        </w:numPr>
        <w:spacing w:line="240" w:lineRule="auto"/>
        <w:ind w:left="720"/>
      </w:pPr>
      <w:r w:rsidRPr="00E45B41">
        <w:t>Part III - Payment Schedule</w:t>
      </w:r>
    </w:p>
    <w:p w14:paraId="32AE4CB6" w14:textId="77777777" w:rsidR="000C6B4E" w:rsidRDefault="000C6B4E" w:rsidP="005F4682">
      <w:pPr>
        <w:pStyle w:val="BULLETS"/>
        <w:numPr>
          <w:ilvl w:val="0"/>
          <w:numId w:val="27"/>
        </w:numPr>
        <w:spacing w:line="240" w:lineRule="auto"/>
        <w:ind w:left="720"/>
      </w:pPr>
      <w:r w:rsidRPr="00E45B41">
        <w:t>Part IV - Terms and Conditions</w:t>
      </w:r>
    </w:p>
    <w:p w14:paraId="63C1B9B5" w14:textId="77777777" w:rsidR="000C6B4E" w:rsidRPr="00C6132D" w:rsidRDefault="000C6B4E" w:rsidP="009333F8">
      <w:pPr>
        <w:jc w:val="both"/>
        <w:rPr>
          <w:rFonts w:cs="Arial"/>
          <w:sz w:val="18"/>
          <w:szCs w:val="22"/>
        </w:rPr>
      </w:pPr>
    </w:p>
    <w:p w14:paraId="19FE3B8F" w14:textId="77777777" w:rsidR="000C6B4E" w:rsidRPr="00E45B41" w:rsidRDefault="000C6B4E" w:rsidP="009333F8">
      <w:pPr>
        <w:pStyle w:val="Arial11BOLD"/>
      </w:pPr>
      <w:r>
        <w:t>Step</w:t>
      </w:r>
      <w:r w:rsidRPr="00E45B41">
        <w:t xml:space="preserve"> 5</w:t>
      </w:r>
      <w:r>
        <w:t xml:space="preserve">. </w:t>
      </w:r>
      <w:r w:rsidRPr="00E45B41">
        <w:t>Advertise the RFP</w:t>
      </w:r>
      <w:r w:rsidRPr="00602014">
        <w:t>/RFQ</w:t>
      </w:r>
      <w:r>
        <w:t xml:space="preserve"> </w:t>
      </w:r>
    </w:p>
    <w:p w14:paraId="493F9884" w14:textId="60F49348" w:rsidR="000C6B4E" w:rsidRPr="00B26EEA" w:rsidRDefault="000C6B4E" w:rsidP="001052AC">
      <w:pPr>
        <w:pStyle w:val="ACDBGBODYArial11"/>
        <w:spacing w:line="240" w:lineRule="auto"/>
        <w:rPr>
          <w:lang w:val="en-US"/>
        </w:rPr>
      </w:pPr>
      <w:r w:rsidRPr="00E45B41">
        <w:t xml:space="preserve">In order to create competition for the work, the Grant </w:t>
      </w:r>
      <w:r>
        <w:rPr>
          <w:lang w:val="en-US"/>
        </w:rPr>
        <w:t>Recipient</w:t>
      </w:r>
      <w:r w:rsidRPr="00E45B41">
        <w:t xml:space="preserve"> must advertise the RFP</w:t>
      </w:r>
      <w:r w:rsidRPr="000A79D4">
        <w:t>/RFQ</w:t>
      </w:r>
      <w:r w:rsidRPr="00803FDB">
        <w:rPr>
          <w:b/>
        </w:rPr>
        <w:t>.</w:t>
      </w:r>
      <w:r w:rsidRPr="00E45B41">
        <w:t xml:space="preserve"> A sample advertisement is provided that can be altered for the appropriate service.</w:t>
      </w:r>
      <w:r>
        <w:t xml:space="preserve"> See </w:t>
      </w:r>
      <w:r w:rsidRPr="00F33480">
        <w:t>sa</w:t>
      </w:r>
      <w:r>
        <w:t xml:space="preserve">mples in </w:t>
      </w:r>
      <w:r w:rsidRPr="001052AC">
        <w:rPr>
          <w:bCs/>
          <w:i/>
          <w:iCs/>
        </w:rPr>
        <w:t>Appendices</w:t>
      </w:r>
      <w:r w:rsidRPr="00322429">
        <w:rPr>
          <w:bCs/>
        </w:rPr>
        <w:t xml:space="preserve"> </w:t>
      </w:r>
      <w:r w:rsidRPr="001052AC">
        <w:rPr>
          <w:bCs/>
          <w:i/>
          <w:iCs/>
        </w:rPr>
        <w:t>D</w:t>
      </w:r>
      <w:r w:rsidRPr="00322429">
        <w:rPr>
          <w:bCs/>
        </w:rPr>
        <w:t xml:space="preserve"> and </w:t>
      </w:r>
      <w:r w:rsidRPr="001052AC">
        <w:rPr>
          <w:bCs/>
          <w:i/>
          <w:iCs/>
        </w:rPr>
        <w:t>E</w:t>
      </w:r>
      <w:r>
        <w:rPr>
          <w:b/>
        </w:rPr>
        <w:t>.</w:t>
      </w:r>
      <w:r>
        <w:t xml:space="preserve"> </w:t>
      </w:r>
      <w:r w:rsidRPr="00966814">
        <w:t>For preapplication procurement of vendors, there is no prohibition on combining the required advertisements for several RFP/RFQ processes into one publication</w:t>
      </w:r>
      <w:r>
        <w:rPr>
          <w:lang w:val="en-US"/>
        </w:rPr>
        <w:t xml:space="preserve">; however, </w:t>
      </w:r>
      <w:proofErr w:type="spellStart"/>
      <w:r>
        <w:rPr>
          <w:lang w:val="en-US"/>
        </w:rPr>
        <w:t>t</w:t>
      </w:r>
      <w:r w:rsidRPr="00966814">
        <w:t>he</w:t>
      </w:r>
      <w:proofErr w:type="spellEnd"/>
      <w:r w:rsidRPr="00E45B41">
        <w:t xml:space="preserve"> Grant </w:t>
      </w:r>
      <w:r>
        <w:rPr>
          <w:lang w:val="en-US"/>
        </w:rPr>
        <w:t>Recipient</w:t>
      </w:r>
      <w:r w:rsidRPr="0028082C">
        <w:t xml:space="preserve"> </w:t>
      </w:r>
      <w:r w:rsidRPr="00E45B41">
        <w:t>must</w:t>
      </w:r>
      <w:r w:rsidR="00B26EEA">
        <w:rPr>
          <w:lang w:val="en-US"/>
        </w:rPr>
        <w:t>:</w:t>
      </w:r>
    </w:p>
    <w:p w14:paraId="27CAE94E" w14:textId="4727DA62" w:rsidR="000C6B4E" w:rsidRPr="003F64D2" w:rsidRDefault="004166B2" w:rsidP="005F4682">
      <w:pPr>
        <w:pStyle w:val="BULLETS"/>
        <w:numPr>
          <w:ilvl w:val="0"/>
          <w:numId w:val="26"/>
        </w:numPr>
        <w:spacing w:line="240" w:lineRule="auto"/>
        <w:ind w:left="720"/>
        <w:rPr>
          <w:sz w:val="18"/>
        </w:rPr>
      </w:pPr>
      <w:r>
        <w:t>A</w:t>
      </w:r>
      <w:r w:rsidR="000C6B4E" w:rsidRPr="003F64D2">
        <w:t>dvertise in a locally distributed newspaper</w:t>
      </w:r>
      <w:r w:rsidR="00C00D89">
        <w:t xml:space="preserve"> and</w:t>
      </w:r>
    </w:p>
    <w:p w14:paraId="2E6517A6" w14:textId="68DD57A6" w:rsidR="000C6B4E" w:rsidRPr="00966814" w:rsidRDefault="004166B2" w:rsidP="005F4682">
      <w:pPr>
        <w:pStyle w:val="BULLETS"/>
        <w:numPr>
          <w:ilvl w:val="0"/>
          <w:numId w:val="26"/>
        </w:numPr>
        <w:spacing w:line="240" w:lineRule="auto"/>
        <w:ind w:left="720"/>
      </w:pPr>
      <w:r>
        <w:t>A</w:t>
      </w:r>
      <w:r w:rsidR="000C6B4E" w:rsidRPr="00322429">
        <w:t>dvertise</w:t>
      </w:r>
      <w:r w:rsidR="000C6B4E">
        <w:t xml:space="preserve"> the solicitation </w:t>
      </w:r>
      <w:r w:rsidR="000C6B4E" w:rsidRPr="00322429">
        <w:t>for at least ten days before the proposal submission deadline</w:t>
      </w:r>
      <w:r w:rsidR="000C6B4E" w:rsidRPr="00966814">
        <w:t xml:space="preserve">.  </w:t>
      </w:r>
    </w:p>
    <w:p w14:paraId="77490BA0" w14:textId="77777777" w:rsidR="000C6B4E" w:rsidRPr="00057E28" w:rsidRDefault="000C6B4E" w:rsidP="001052AC"/>
    <w:p w14:paraId="484FEE8A" w14:textId="77777777" w:rsidR="000C6B4E" w:rsidRPr="00057E28" w:rsidRDefault="000C6B4E" w:rsidP="001052AC">
      <w:pPr>
        <w:pStyle w:val="ACDBGBODYArial11"/>
        <w:spacing w:line="240" w:lineRule="auto"/>
      </w:pPr>
      <w:r w:rsidRPr="00057E28">
        <w:t>Retain a tear sheet/full-page advertisement/photo copy with publisher’s identification and date/publisher’s affidavit for proof of advertising for monitoring purposes.</w:t>
      </w:r>
    </w:p>
    <w:p w14:paraId="3D7EEFE3" w14:textId="77777777" w:rsidR="000C6B4E" w:rsidRPr="00057E28" w:rsidRDefault="000C6B4E" w:rsidP="001052AC">
      <w:pPr>
        <w:pStyle w:val="ACDBGBODYArial11"/>
        <w:spacing w:line="240" w:lineRule="auto"/>
      </w:pPr>
    </w:p>
    <w:p w14:paraId="3EAAC24D" w14:textId="23AC1DE9" w:rsidR="001726C3" w:rsidRPr="00057E28" w:rsidRDefault="001726C3" w:rsidP="001726C3">
      <w:pPr>
        <w:pStyle w:val="ACDBGBODYArial11"/>
        <w:spacing w:line="240" w:lineRule="auto"/>
        <w:rPr>
          <w:lang w:val="en-US"/>
        </w:rPr>
      </w:pPr>
      <w:r w:rsidRPr="00057E28">
        <w:rPr>
          <w:lang w:val="en-US"/>
        </w:rPr>
        <w:t>In addition, the Grant Recipient must facilitate contracting opportunities for Section 3 businesses, as well as minority-owned businesses and women-owned businesses by reporting the RFP/RFQ opportunity to a</w:t>
      </w:r>
      <w:r w:rsidRPr="00057E28">
        <w:rPr>
          <w:bCs/>
        </w:rPr>
        <w:t>t least one organization providing access to and assistance with bid opportunities, particularly those that recognize small and disadvantaged businesses that are likely to include Section 3 Businesses</w:t>
      </w:r>
      <w:r w:rsidR="00911141" w:rsidRPr="00057E28">
        <w:rPr>
          <w:bCs/>
          <w:lang w:val="en-US"/>
        </w:rPr>
        <w:t xml:space="preserve">.  Retain screenshots or other confirmation to document </w:t>
      </w:r>
      <w:r w:rsidR="00A02E6A" w:rsidRPr="00057E28">
        <w:rPr>
          <w:bCs/>
          <w:lang w:val="en-US"/>
        </w:rPr>
        <w:t>compliance with this requirement</w:t>
      </w:r>
      <w:r w:rsidR="00911141" w:rsidRPr="00057E28">
        <w:rPr>
          <w:bCs/>
          <w:lang w:val="en-US"/>
        </w:rPr>
        <w:t>.  Examples of acceptable organizations include</w:t>
      </w:r>
      <w:r w:rsidRPr="00057E28">
        <w:rPr>
          <w:bCs/>
        </w:rPr>
        <w:t>:</w:t>
      </w:r>
    </w:p>
    <w:p w14:paraId="37ECE7C7" w14:textId="77777777" w:rsidR="001726C3" w:rsidRPr="00057E28" w:rsidRDefault="001726C3" w:rsidP="00425E3C">
      <w:pPr>
        <w:pStyle w:val="Default"/>
        <w:numPr>
          <w:ilvl w:val="1"/>
          <w:numId w:val="40"/>
        </w:numPr>
        <w:ind w:left="720"/>
        <w:rPr>
          <w:color w:val="auto"/>
          <w:sz w:val="22"/>
          <w:szCs w:val="22"/>
        </w:rPr>
      </w:pPr>
      <w:r w:rsidRPr="00057E28">
        <w:rPr>
          <w:color w:val="auto"/>
          <w:sz w:val="22"/>
          <w:szCs w:val="22"/>
        </w:rPr>
        <w:t xml:space="preserve">Public/non-profit </w:t>
      </w:r>
      <w:proofErr w:type="gramStart"/>
      <w:r w:rsidRPr="00057E28">
        <w:rPr>
          <w:color w:val="auto"/>
          <w:sz w:val="22"/>
          <w:szCs w:val="22"/>
        </w:rPr>
        <w:t>organizations;</w:t>
      </w:r>
      <w:proofErr w:type="gramEnd"/>
      <w:r w:rsidRPr="00057E28">
        <w:rPr>
          <w:color w:val="auto"/>
          <w:sz w:val="22"/>
          <w:szCs w:val="22"/>
        </w:rPr>
        <w:t xml:space="preserve"> </w:t>
      </w:r>
    </w:p>
    <w:p w14:paraId="16849509" w14:textId="77777777" w:rsidR="001726C3" w:rsidRPr="00057E28" w:rsidRDefault="001726C3" w:rsidP="00425E3C">
      <w:pPr>
        <w:pStyle w:val="Default"/>
        <w:numPr>
          <w:ilvl w:val="1"/>
          <w:numId w:val="40"/>
        </w:numPr>
        <w:ind w:left="720"/>
        <w:rPr>
          <w:color w:val="auto"/>
          <w:sz w:val="22"/>
          <w:szCs w:val="22"/>
        </w:rPr>
      </w:pPr>
      <w:r w:rsidRPr="00057E28">
        <w:rPr>
          <w:color w:val="auto"/>
          <w:sz w:val="22"/>
          <w:szCs w:val="22"/>
        </w:rPr>
        <w:t>Private plan rooms; or</w:t>
      </w:r>
    </w:p>
    <w:p w14:paraId="775648A4" w14:textId="77777777" w:rsidR="001726C3" w:rsidRPr="00057E28" w:rsidRDefault="001726C3" w:rsidP="00425E3C">
      <w:pPr>
        <w:pStyle w:val="Default"/>
        <w:numPr>
          <w:ilvl w:val="1"/>
          <w:numId w:val="40"/>
        </w:numPr>
        <w:ind w:left="720"/>
        <w:rPr>
          <w:bCs/>
          <w:color w:val="auto"/>
          <w:sz w:val="22"/>
          <w:szCs w:val="22"/>
        </w:rPr>
      </w:pPr>
      <w:r w:rsidRPr="00057E28">
        <w:rPr>
          <w:bCs/>
          <w:color w:val="auto"/>
          <w:sz w:val="22"/>
          <w:szCs w:val="22"/>
        </w:rPr>
        <w:t xml:space="preserve">Local Workforce Solutions Offices (WIOA One Stop Shop), if applicable, see </w:t>
      </w:r>
      <w:hyperlink r:id="rId15" w:history="1">
        <w:r w:rsidRPr="00057E28">
          <w:rPr>
            <w:rStyle w:val="Hyperlink"/>
            <w:bCs/>
            <w:color w:val="auto"/>
            <w:sz w:val="22"/>
            <w:szCs w:val="22"/>
          </w:rPr>
          <w:t>https://www.twc.texas.gov/directory-workforce-solutions-offices-services</w:t>
        </w:r>
      </w:hyperlink>
      <w:r w:rsidRPr="00057E28">
        <w:rPr>
          <w:bCs/>
          <w:color w:val="auto"/>
          <w:sz w:val="22"/>
          <w:szCs w:val="22"/>
        </w:rPr>
        <w:t>.</w:t>
      </w:r>
    </w:p>
    <w:p w14:paraId="1AD98839" w14:textId="77777777" w:rsidR="001726C3" w:rsidRPr="001726C3" w:rsidRDefault="001726C3" w:rsidP="001052AC">
      <w:pPr>
        <w:pStyle w:val="ACDBGBODYArial11"/>
        <w:spacing w:line="240" w:lineRule="auto"/>
        <w:rPr>
          <w:lang w:val="en-US"/>
        </w:rPr>
      </w:pPr>
    </w:p>
    <w:p w14:paraId="50DC4662" w14:textId="0E9637D0" w:rsidR="004166B2" w:rsidRDefault="004166B2" w:rsidP="001052AC">
      <w:pPr>
        <w:pStyle w:val="1BODY-Arial11"/>
        <w:spacing w:line="240" w:lineRule="auto"/>
      </w:pPr>
      <w:r>
        <w:t xml:space="preserve">Update the MSR </w:t>
      </w:r>
      <w:r w:rsidR="00057E28">
        <w:t>with information</w:t>
      </w:r>
      <w:r w:rsidR="007D40F4">
        <w:t xml:space="preserve"> from </w:t>
      </w:r>
      <w:r>
        <w:t xml:space="preserve">the advertisements. Detailed step-by-step instructions for completing and submitting an MSR in TDA-GO may be found on the TDA website. </w:t>
      </w:r>
    </w:p>
    <w:p w14:paraId="3E1C06EF" w14:textId="77777777" w:rsidR="000C6B4E" w:rsidRPr="00EB2204" w:rsidRDefault="000C6B4E" w:rsidP="001052AC"/>
    <w:p w14:paraId="5442D358" w14:textId="77777777" w:rsidR="000C6B4E" w:rsidRPr="00602014" w:rsidRDefault="000C6B4E" w:rsidP="009333F8">
      <w:pPr>
        <w:ind w:left="900" w:hanging="900"/>
        <w:jc w:val="both"/>
        <w:rPr>
          <w:rFonts w:cs="Arial"/>
          <w:szCs w:val="22"/>
        </w:rPr>
      </w:pPr>
      <w:r>
        <w:rPr>
          <w:rFonts w:cs="Arial"/>
          <w:b/>
          <w:szCs w:val="22"/>
        </w:rPr>
        <w:t>Step</w:t>
      </w:r>
      <w:r w:rsidRPr="00E45B41">
        <w:rPr>
          <w:rFonts w:cs="Arial"/>
          <w:b/>
          <w:szCs w:val="22"/>
        </w:rPr>
        <w:t xml:space="preserve"> 6</w:t>
      </w:r>
      <w:r>
        <w:rPr>
          <w:rFonts w:cs="Arial"/>
          <w:b/>
          <w:szCs w:val="22"/>
        </w:rPr>
        <w:t>.</w:t>
      </w:r>
      <w:r w:rsidRPr="00E45B41">
        <w:rPr>
          <w:rFonts w:cs="Arial"/>
          <w:b/>
          <w:szCs w:val="22"/>
        </w:rPr>
        <w:t xml:space="preserve"> </w:t>
      </w:r>
      <w:r w:rsidRPr="00803FDB">
        <w:rPr>
          <w:rFonts w:cs="Arial"/>
          <w:b/>
          <w:szCs w:val="22"/>
        </w:rPr>
        <w:t xml:space="preserve">Send RFP/RFQ to at </w:t>
      </w:r>
      <w:r>
        <w:rPr>
          <w:rFonts w:cs="Arial"/>
          <w:b/>
          <w:szCs w:val="22"/>
        </w:rPr>
        <w:t>L</w:t>
      </w:r>
      <w:r w:rsidRPr="00803FDB">
        <w:rPr>
          <w:rFonts w:cs="Arial"/>
          <w:b/>
          <w:szCs w:val="22"/>
        </w:rPr>
        <w:t>east Fiv</w:t>
      </w:r>
      <w:r>
        <w:rPr>
          <w:rFonts w:cs="Arial"/>
          <w:b/>
          <w:szCs w:val="22"/>
        </w:rPr>
        <w:t>e</w:t>
      </w:r>
      <w:r w:rsidRPr="00803FDB">
        <w:rPr>
          <w:rFonts w:cs="Arial"/>
          <w:b/>
          <w:szCs w:val="22"/>
        </w:rPr>
        <w:t xml:space="preserve"> Individuals/Firms</w:t>
      </w:r>
    </w:p>
    <w:p w14:paraId="22B2AC9D" w14:textId="77777777" w:rsidR="000C6B4E" w:rsidRPr="00322429" w:rsidRDefault="000C6B4E" w:rsidP="001052AC">
      <w:pPr>
        <w:pStyle w:val="ACDBGBODYArial11"/>
        <w:spacing w:line="240" w:lineRule="auto"/>
      </w:pPr>
      <w:r w:rsidRPr="00322429">
        <w:t>Prepare a list of potential firms/individuals.</w:t>
      </w:r>
      <w:r>
        <w:rPr>
          <w:lang w:val="en-US"/>
        </w:rPr>
        <w:t xml:space="preserve"> </w:t>
      </w:r>
      <w:r w:rsidRPr="00322429">
        <w:t>TDA’s list of certified administrators or firms is available on the TDA website, and the Texas Comptroller of Public Accounts’ Historically Underutilized Business (HUB) Directory is available on its website. In accordance with Section 3 of the Housing and Urban Development Act of 1968, successful applicants using</w:t>
      </w:r>
      <w:r>
        <w:rPr>
          <w:lang w:val="en-US"/>
        </w:rPr>
        <w:t xml:space="preserve"> </w:t>
      </w:r>
      <w:r>
        <w:t>TxCDBG</w:t>
      </w:r>
      <w:r w:rsidRPr="00322429">
        <w:t xml:space="preserve"> funding for housing or other public construction are required, to the greatest extent feasible, to provide training and employment opportunities to lower-income residents and contract opportunities to businesses in the project area.</w:t>
      </w:r>
    </w:p>
    <w:p w14:paraId="3B94CE1D" w14:textId="77777777" w:rsidR="000C6B4E" w:rsidRPr="00322429" w:rsidRDefault="000C6B4E" w:rsidP="001052AC"/>
    <w:p w14:paraId="56B40886" w14:textId="6FEEDACA" w:rsidR="000C6B4E" w:rsidRPr="00057E28" w:rsidRDefault="000C6B4E" w:rsidP="001052AC">
      <w:pPr>
        <w:pStyle w:val="ACDBGBODYArial11"/>
        <w:spacing w:line="240" w:lineRule="auto"/>
        <w:rPr>
          <w:lang w:val="en-US"/>
        </w:rPr>
      </w:pPr>
      <w:r w:rsidRPr="00322429">
        <w:t xml:space="preserve">Grant </w:t>
      </w:r>
      <w:r>
        <w:rPr>
          <w:lang w:val="en-US"/>
        </w:rPr>
        <w:t>Recipients</w:t>
      </w:r>
      <w:r w:rsidRPr="0028082C">
        <w:t xml:space="preserve"> </w:t>
      </w:r>
      <w:r w:rsidRPr="00322429">
        <w:t>should actively take steps to encourage proposals from SBE</w:t>
      </w:r>
      <w:r>
        <w:rPr>
          <w:lang w:val="en-US"/>
        </w:rPr>
        <w:t>s</w:t>
      </w:r>
      <w:r w:rsidRPr="00322429">
        <w:t>, MBEs, and WBEs, as well as Section 3 business concerns.</w:t>
      </w:r>
      <w:r>
        <w:t xml:space="preserve"> </w:t>
      </w:r>
      <w:r>
        <w:rPr>
          <w:lang w:val="en-US"/>
        </w:rPr>
        <w:t xml:space="preserve">See </w:t>
      </w:r>
      <w:r w:rsidRPr="00603F0A">
        <w:rPr>
          <w:i/>
          <w:iCs/>
          <w:lang w:val="en-US"/>
        </w:rPr>
        <w:t>Chapter 10</w:t>
      </w:r>
      <w:r w:rsidR="004166B2">
        <w:rPr>
          <w:i/>
          <w:iCs/>
          <w:lang w:val="en-US"/>
        </w:rPr>
        <w:t xml:space="preserve"> Civil Rights</w:t>
      </w:r>
      <w:r>
        <w:rPr>
          <w:lang w:val="en-US"/>
        </w:rPr>
        <w:t xml:space="preserve">. </w:t>
      </w:r>
      <w:r w:rsidRPr="00322429">
        <w:t xml:space="preserve">Although Grant </w:t>
      </w:r>
      <w:r>
        <w:t>Applicant</w:t>
      </w:r>
      <w:r w:rsidRPr="00322429">
        <w:t xml:space="preserve">s are not directly responsible for meeting a </w:t>
      </w:r>
      <w:r w:rsidRPr="00057E28">
        <w:t xml:space="preserve">specific minority business participation goal, TDA reports to HUD on the levels of MBE and WBE hiring under all TxCDBG </w:t>
      </w:r>
      <w:r w:rsidR="00446814" w:rsidRPr="00057E28">
        <w:rPr>
          <w:lang w:val="en-US"/>
        </w:rPr>
        <w:t>Grant Agreement</w:t>
      </w:r>
      <w:r w:rsidRPr="00057E28">
        <w:t xml:space="preserve">.  </w:t>
      </w:r>
      <w:r w:rsidR="007D40F4" w:rsidRPr="00057E28">
        <w:rPr>
          <w:lang w:val="en-US"/>
        </w:rPr>
        <w:t>TDA recommends sending the solicitation to a minimum of two service providers that meet the definition for SBE, MBE, WBE, or Section 3 businesses.</w:t>
      </w:r>
    </w:p>
    <w:p w14:paraId="53B7DC4A" w14:textId="77777777" w:rsidR="000C6B4E" w:rsidRPr="00057E28" w:rsidRDefault="000C6B4E" w:rsidP="001052AC"/>
    <w:p w14:paraId="4F8AD408" w14:textId="77777777" w:rsidR="000C6B4E" w:rsidRPr="008B7886" w:rsidRDefault="000C6B4E" w:rsidP="001052AC">
      <w:pPr>
        <w:pStyle w:val="ACDBGBODYArial11"/>
        <w:spacing w:line="240" w:lineRule="auto"/>
        <w:rPr>
          <w:lang w:val="en-US"/>
        </w:rPr>
      </w:pPr>
      <w:r w:rsidRPr="00057E28">
        <w:t xml:space="preserve">Send the RFP/RFQ package to a minimum of five individuals/firms by email, fax, and/or return receipt </w:t>
      </w:r>
      <w:r w:rsidRPr="00322429">
        <w:t>mail</w:t>
      </w:r>
      <w:r w:rsidRPr="00602014">
        <w:t xml:space="preserve">.  </w:t>
      </w:r>
    </w:p>
    <w:p w14:paraId="1BF505E2" w14:textId="77777777" w:rsidR="000C6B4E" w:rsidRPr="00602014" w:rsidRDefault="000C6B4E" w:rsidP="00425E3C">
      <w:pPr>
        <w:pStyle w:val="ListParagraph"/>
        <w:numPr>
          <w:ilvl w:val="0"/>
          <w:numId w:val="25"/>
        </w:numPr>
        <w:contextualSpacing/>
        <w:jc w:val="both"/>
        <w:rPr>
          <w:rFonts w:ascii="Arial" w:hAnsi="Arial" w:cs="Arial"/>
        </w:rPr>
      </w:pPr>
      <w:r w:rsidRPr="00602014">
        <w:rPr>
          <w:rFonts w:ascii="Arial" w:hAnsi="Arial" w:cs="Arial"/>
        </w:rPr>
        <w:t>Document reasons for selecting such individuals/firms for local files.</w:t>
      </w:r>
    </w:p>
    <w:p w14:paraId="21EF73D0" w14:textId="77777777" w:rsidR="000C6B4E" w:rsidRPr="00602014" w:rsidRDefault="000C6B4E" w:rsidP="00425E3C">
      <w:pPr>
        <w:pStyle w:val="ListParagraph"/>
        <w:numPr>
          <w:ilvl w:val="0"/>
          <w:numId w:val="25"/>
        </w:numPr>
        <w:contextualSpacing/>
        <w:jc w:val="both"/>
        <w:rPr>
          <w:rFonts w:ascii="Arial" w:hAnsi="Arial" w:cs="Arial"/>
        </w:rPr>
      </w:pPr>
      <w:r w:rsidRPr="00602014">
        <w:rPr>
          <w:rFonts w:ascii="Arial" w:hAnsi="Arial" w:cs="Arial"/>
        </w:rPr>
        <w:t xml:space="preserve">Document evidence of contacting five individuals/ firms. </w:t>
      </w:r>
    </w:p>
    <w:p w14:paraId="7A3ABBB0" w14:textId="118501B7" w:rsidR="000C6B4E" w:rsidRPr="00602014" w:rsidRDefault="000C6B4E" w:rsidP="00425E3C">
      <w:pPr>
        <w:pStyle w:val="ListParagraph"/>
        <w:numPr>
          <w:ilvl w:val="2"/>
          <w:numId w:val="3"/>
        </w:numPr>
        <w:ind w:left="1080"/>
        <w:contextualSpacing/>
        <w:jc w:val="both"/>
        <w:rPr>
          <w:rFonts w:ascii="Arial" w:hAnsi="Arial" w:cs="Arial"/>
        </w:rPr>
      </w:pPr>
      <w:r w:rsidRPr="00602014">
        <w:rPr>
          <w:rFonts w:ascii="Arial" w:hAnsi="Arial" w:cs="Arial"/>
        </w:rPr>
        <w:t>If email/fax, print verifiable evidence that email/fax sent.</w:t>
      </w:r>
    </w:p>
    <w:p w14:paraId="3A3F59EE" w14:textId="77777777" w:rsidR="000C6B4E" w:rsidRPr="00602014" w:rsidRDefault="000C6B4E" w:rsidP="00425E3C">
      <w:pPr>
        <w:pStyle w:val="ListParagraph"/>
        <w:numPr>
          <w:ilvl w:val="2"/>
          <w:numId w:val="3"/>
        </w:numPr>
        <w:ind w:left="1080"/>
        <w:contextualSpacing/>
        <w:jc w:val="both"/>
        <w:rPr>
          <w:rFonts w:ascii="Arial" w:hAnsi="Arial" w:cs="Arial"/>
        </w:rPr>
      </w:pPr>
      <w:r w:rsidRPr="00602014">
        <w:rPr>
          <w:rFonts w:ascii="Arial" w:hAnsi="Arial" w:cs="Arial"/>
        </w:rPr>
        <w:t xml:space="preserve">If </w:t>
      </w:r>
      <w:r>
        <w:rPr>
          <w:rFonts w:ascii="Arial" w:hAnsi="Arial" w:cs="Arial"/>
        </w:rPr>
        <w:t xml:space="preserve">USPS </w:t>
      </w:r>
      <w:r w:rsidRPr="00602014">
        <w:rPr>
          <w:rFonts w:ascii="Arial" w:hAnsi="Arial" w:cs="Arial"/>
        </w:rPr>
        <w:t>mail, send return receipt.</w:t>
      </w:r>
    </w:p>
    <w:p w14:paraId="2B69D734" w14:textId="77777777" w:rsidR="000C6B4E" w:rsidRPr="00C6132D" w:rsidRDefault="000C6B4E" w:rsidP="001052AC">
      <w:pPr>
        <w:pStyle w:val="ListParagraph"/>
        <w:jc w:val="both"/>
        <w:rPr>
          <w:rFonts w:ascii="Arial" w:hAnsi="Arial" w:cs="Arial"/>
          <w:sz w:val="18"/>
        </w:rPr>
      </w:pPr>
    </w:p>
    <w:p w14:paraId="1671B445" w14:textId="77777777" w:rsidR="000C6B4E" w:rsidRDefault="000C6B4E" w:rsidP="001052AC">
      <w:pPr>
        <w:pStyle w:val="ACDBGBODYArial11"/>
        <w:spacing w:line="240" w:lineRule="auto"/>
      </w:pPr>
      <w:r w:rsidRPr="00322429">
        <w:t>The proposal deadline must allow at least ten days after the RFP/RFQ was sent to these individuals/firms.</w:t>
      </w:r>
    </w:p>
    <w:p w14:paraId="348863EC" w14:textId="77777777" w:rsidR="00D67BF3" w:rsidRDefault="00D67BF3" w:rsidP="001052AC">
      <w:pPr>
        <w:pStyle w:val="ACDBGBODYArial11"/>
        <w:spacing w:line="240" w:lineRule="auto"/>
      </w:pPr>
    </w:p>
    <w:p w14:paraId="4220071A" w14:textId="596A5A2E" w:rsidR="00D67BF3" w:rsidRPr="00777C0C" w:rsidRDefault="00D67BF3" w:rsidP="001052AC">
      <w:pPr>
        <w:pStyle w:val="ACDBGBODYArial11"/>
        <w:spacing w:line="240" w:lineRule="auto"/>
        <w:rPr>
          <w:color w:val="2F5496" w:themeColor="accent1" w:themeShade="BF"/>
        </w:rPr>
      </w:pPr>
      <w:r w:rsidRPr="00777C0C">
        <w:rPr>
          <w:b/>
          <w:bCs/>
          <w:color w:val="2F5496" w:themeColor="accent1" w:themeShade="BF"/>
        </w:rPr>
        <w:t>BEST PRACTICE:</w:t>
      </w:r>
      <w:r w:rsidRPr="00777C0C">
        <w:rPr>
          <w:color w:val="2F5496" w:themeColor="accent1" w:themeShade="BF"/>
        </w:rPr>
        <w:t xml:space="preserve"> TDA recommends that the direct solicitation is sent to more than the minimum </w:t>
      </w:r>
      <w:r w:rsidR="00CC3964" w:rsidRPr="00777C0C">
        <w:rPr>
          <w:color w:val="2F5496" w:themeColor="accent1" w:themeShade="BF"/>
        </w:rPr>
        <w:t xml:space="preserve">five </w:t>
      </w:r>
      <w:r w:rsidR="00C90ABD" w:rsidRPr="00777C0C">
        <w:rPr>
          <w:color w:val="2F5496" w:themeColor="accent1" w:themeShade="BF"/>
        </w:rPr>
        <w:t>(</w:t>
      </w:r>
      <w:r w:rsidR="00CC3964" w:rsidRPr="00777C0C">
        <w:rPr>
          <w:color w:val="2F5496" w:themeColor="accent1" w:themeShade="BF"/>
        </w:rPr>
        <w:t>5</w:t>
      </w:r>
      <w:r w:rsidR="00C90ABD" w:rsidRPr="00777C0C">
        <w:rPr>
          <w:color w:val="2F5496" w:themeColor="accent1" w:themeShade="BF"/>
        </w:rPr>
        <w:t xml:space="preserve">) </w:t>
      </w:r>
      <w:r w:rsidRPr="00777C0C">
        <w:rPr>
          <w:color w:val="2F5496" w:themeColor="accent1" w:themeShade="BF"/>
        </w:rPr>
        <w:t xml:space="preserve">individuals/firms to </w:t>
      </w:r>
      <w:r w:rsidR="001177CF" w:rsidRPr="00777C0C">
        <w:rPr>
          <w:color w:val="2F5496" w:themeColor="accent1" w:themeShade="BF"/>
        </w:rPr>
        <w:t xml:space="preserve">ensure </w:t>
      </w:r>
      <w:r w:rsidRPr="00777C0C">
        <w:rPr>
          <w:color w:val="2F5496" w:themeColor="accent1" w:themeShade="BF"/>
        </w:rPr>
        <w:t xml:space="preserve">compliance with TxCDBG program rules and encourage a more robust procurement process. </w:t>
      </w:r>
    </w:p>
    <w:p w14:paraId="231D6E65" w14:textId="77777777" w:rsidR="000C6B4E" w:rsidRPr="003F129E" w:rsidRDefault="000C6B4E" w:rsidP="001052AC"/>
    <w:p w14:paraId="3B20DC6D" w14:textId="77777777" w:rsidR="000C6B4E" w:rsidRDefault="000C6B4E" w:rsidP="009333F8">
      <w:pPr>
        <w:pStyle w:val="Arial11BOLD"/>
      </w:pPr>
      <w:r>
        <w:t>Step</w:t>
      </w:r>
      <w:r w:rsidRPr="00E45B41">
        <w:t xml:space="preserve"> 7</w:t>
      </w:r>
      <w:r>
        <w:t xml:space="preserve">. Evaluate and </w:t>
      </w:r>
      <w:r w:rsidRPr="00E45B41">
        <w:t xml:space="preserve">Rate </w:t>
      </w:r>
      <w:r>
        <w:t xml:space="preserve">the </w:t>
      </w:r>
      <w:r w:rsidRPr="00E45B41">
        <w:t>Proposals</w:t>
      </w:r>
    </w:p>
    <w:p w14:paraId="76B5233A" w14:textId="77777777" w:rsidR="000C6B4E" w:rsidRPr="00322429" w:rsidRDefault="000C6B4E" w:rsidP="001052AC">
      <w:pPr>
        <w:pStyle w:val="ACDBGBODYArial11"/>
        <w:spacing w:line="240" w:lineRule="auto"/>
      </w:pPr>
      <w:r w:rsidRPr="00322429">
        <w:t>After the proposal submission deadline, the selection committee must rate the proposals received by the deadline, using only the specific selection criteria identified in its RFP/RFQ.  This selection process must be thorough, uniform, and well documented through the rating sheets developed in Step 3.</w:t>
      </w:r>
    </w:p>
    <w:p w14:paraId="1E155BE9" w14:textId="77777777" w:rsidR="000C6B4E" w:rsidRPr="00322429" w:rsidRDefault="000C6B4E" w:rsidP="001052AC">
      <w:pPr>
        <w:pStyle w:val="ACDBGBODYArial11"/>
        <w:spacing w:line="240" w:lineRule="auto"/>
      </w:pPr>
    </w:p>
    <w:p w14:paraId="3473CC97" w14:textId="5CD12F09" w:rsidR="000C6B4E" w:rsidRPr="008F6AD8" w:rsidRDefault="000C6B4E" w:rsidP="001052AC">
      <w:pPr>
        <w:pStyle w:val="ACDBGBODYArial11"/>
        <w:spacing w:line="240" w:lineRule="auto"/>
      </w:pPr>
      <w:r w:rsidRPr="00322429">
        <w:t xml:space="preserve">For </w:t>
      </w:r>
      <w:r>
        <w:rPr>
          <w:lang w:val="en-US"/>
        </w:rPr>
        <w:t xml:space="preserve">professional </w:t>
      </w:r>
      <w:r w:rsidRPr="00322429">
        <w:t>services</w:t>
      </w:r>
      <w:r w:rsidR="001177CF">
        <w:t xml:space="preserve"> (engineering/architectural/surveyor)</w:t>
      </w:r>
      <w:r w:rsidRPr="00322429">
        <w:t xml:space="preserve"> price/cost may </w:t>
      </w:r>
      <w:r w:rsidRPr="00603F0A">
        <w:rPr>
          <w:b/>
          <w:bCs/>
        </w:rPr>
        <w:t>not</w:t>
      </w:r>
      <w:r w:rsidRPr="00322429">
        <w:t xml:space="preserve"> be considered until after the </w:t>
      </w:r>
      <w:r>
        <w:rPr>
          <w:lang w:val="en-US"/>
        </w:rPr>
        <w:t>successful respondent</w:t>
      </w:r>
      <w:r w:rsidRPr="00322429">
        <w:t xml:space="preserve"> has been chosen.</w:t>
      </w:r>
    </w:p>
    <w:p w14:paraId="597C999E" w14:textId="77777777" w:rsidR="000C6B4E" w:rsidRDefault="000C6B4E" w:rsidP="000A6D77"/>
    <w:p w14:paraId="1C1E174B" w14:textId="77777777" w:rsidR="000C6B4E" w:rsidRPr="00322429" w:rsidRDefault="000C6B4E" w:rsidP="009333F8">
      <w:pPr>
        <w:pStyle w:val="BodyText"/>
        <w:rPr>
          <w:rFonts w:cs="Arial"/>
          <w:b/>
          <w:sz w:val="22"/>
          <w:szCs w:val="22"/>
          <w:lang w:val="en-US"/>
        </w:rPr>
      </w:pPr>
      <w:r>
        <w:rPr>
          <w:rFonts w:cs="Arial"/>
          <w:b/>
          <w:sz w:val="22"/>
          <w:szCs w:val="22"/>
          <w:lang w:val="en-US"/>
        </w:rPr>
        <w:t>Step</w:t>
      </w:r>
      <w:r w:rsidRPr="008074B3">
        <w:rPr>
          <w:rFonts w:cs="Arial"/>
          <w:b/>
          <w:sz w:val="22"/>
          <w:szCs w:val="22"/>
        </w:rPr>
        <w:t xml:space="preserve"> 8</w:t>
      </w:r>
      <w:r>
        <w:rPr>
          <w:rFonts w:cs="Arial"/>
          <w:b/>
          <w:sz w:val="22"/>
          <w:szCs w:val="22"/>
          <w:lang w:val="en-US"/>
        </w:rPr>
        <w:t xml:space="preserve">. </w:t>
      </w:r>
      <w:r w:rsidRPr="008074B3">
        <w:rPr>
          <w:rFonts w:cs="Arial"/>
          <w:b/>
          <w:sz w:val="22"/>
          <w:szCs w:val="22"/>
          <w:lang w:val="en-US"/>
        </w:rPr>
        <w:t>Select Respondent</w:t>
      </w:r>
    </w:p>
    <w:p w14:paraId="49706A5E" w14:textId="77777777" w:rsidR="000C6B4E" w:rsidRPr="00E45B41" w:rsidRDefault="000C6B4E" w:rsidP="001052AC">
      <w:pPr>
        <w:pStyle w:val="ACDBGBODYArial11"/>
        <w:spacing w:line="240" w:lineRule="auto"/>
      </w:pPr>
      <w:r w:rsidRPr="00E45B41">
        <w:t xml:space="preserve">The </w:t>
      </w:r>
      <w:r>
        <w:rPr>
          <w:lang w:val="en-US"/>
        </w:rPr>
        <w:t xml:space="preserve">selection </w:t>
      </w:r>
      <w:r w:rsidRPr="00E45B41">
        <w:t>committee recommends that the contract be awarded to the respondent with the highest total score</w:t>
      </w:r>
      <w:r>
        <w:rPr>
          <w:lang w:val="en-US"/>
        </w:rPr>
        <w:t xml:space="preserve"> </w:t>
      </w:r>
      <w:r w:rsidRPr="00E45B41">
        <w:t>if this method is used</w:t>
      </w:r>
      <w:r>
        <w:rPr>
          <w:lang w:val="en-US"/>
        </w:rPr>
        <w:t xml:space="preserve">, </w:t>
      </w:r>
      <w:r w:rsidRPr="00E45B41">
        <w:t>or has the most qualifications in the proposal evaluation. The recommendation must meet the reasonable, responsible</w:t>
      </w:r>
      <w:r>
        <w:rPr>
          <w:lang w:val="en-US"/>
        </w:rPr>
        <w:t xml:space="preserve">, and </w:t>
      </w:r>
      <w:r w:rsidRPr="00E45B41">
        <w:t>responsive</w:t>
      </w:r>
      <w:r>
        <w:rPr>
          <w:lang w:val="en-US"/>
        </w:rPr>
        <w:t xml:space="preserve"> </w:t>
      </w:r>
      <w:r w:rsidRPr="00E45B41">
        <w:t>tests according to federal procurement procedures:</w:t>
      </w:r>
    </w:p>
    <w:p w14:paraId="78AD74FB" w14:textId="77777777" w:rsidR="000C6B4E" w:rsidRPr="00E45B41" w:rsidRDefault="000C6B4E" w:rsidP="005F4682">
      <w:pPr>
        <w:pStyle w:val="BULLETS"/>
        <w:numPr>
          <w:ilvl w:val="0"/>
          <w:numId w:val="24"/>
        </w:numPr>
        <w:spacing w:line="240" w:lineRule="auto"/>
        <w:ind w:left="720"/>
      </w:pPr>
      <w:r w:rsidRPr="00603F0A">
        <w:rPr>
          <w:b/>
          <w:bCs/>
        </w:rPr>
        <w:t>Reasonable</w:t>
      </w:r>
      <w:r>
        <w:t xml:space="preserve"> – </w:t>
      </w:r>
      <w:r w:rsidRPr="00E45B41">
        <w:t xml:space="preserve">Refers to the most suitable, fit, and appropriate respondent to accomplish the </w:t>
      </w:r>
      <w:r>
        <w:t>project</w:t>
      </w:r>
      <w:r w:rsidRPr="00E45B41">
        <w:t>.</w:t>
      </w:r>
    </w:p>
    <w:p w14:paraId="316DC369" w14:textId="77777777" w:rsidR="000C6B4E" w:rsidRPr="00E45B41" w:rsidRDefault="000C6B4E" w:rsidP="005F4682">
      <w:pPr>
        <w:pStyle w:val="BULLETS"/>
        <w:numPr>
          <w:ilvl w:val="0"/>
          <w:numId w:val="24"/>
        </w:numPr>
        <w:spacing w:line="240" w:lineRule="auto"/>
        <w:ind w:left="720"/>
      </w:pPr>
      <w:r w:rsidRPr="00603F0A">
        <w:rPr>
          <w:b/>
          <w:bCs/>
        </w:rPr>
        <w:t>Responsible</w:t>
      </w:r>
      <w:r>
        <w:t xml:space="preserve"> – </w:t>
      </w:r>
      <w:r w:rsidRPr="00E45B41">
        <w:t>Refers to the respondent that can fully perform the requirements of the contract and has the integrity and reliability that will assure good faith performance.</w:t>
      </w:r>
    </w:p>
    <w:p w14:paraId="5AEE614B" w14:textId="77777777" w:rsidR="000C6B4E" w:rsidRPr="00E45B41" w:rsidRDefault="000C6B4E" w:rsidP="005F4682">
      <w:pPr>
        <w:pStyle w:val="BULLETS"/>
        <w:numPr>
          <w:ilvl w:val="0"/>
          <w:numId w:val="24"/>
        </w:numPr>
        <w:spacing w:line="240" w:lineRule="auto"/>
        <w:ind w:left="720"/>
      </w:pPr>
      <w:r w:rsidRPr="00603F0A">
        <w:rPr>
          <w:b/>
          <w:bCs/>
        </w:rPr>
        <w:t>Responsive</w:t>
      </w:r>
      <w:r>
        <w:t xml:space="preserve"> – </w:t>
      </w:r>
      <w:r w:rsidRPr="00E45B41">
        <w:t xml:space="preserve">Refers to the respondent that has submitted a bid/proposal that fully conforms to the information requested in the RFP. </w:t>
      </w:r>
    </w:p>
    <w:p w14:paraId="06176566" w14:textId="77777777" w:rsidR="000C6B4E" w:rsidRPr="00E45B41" w:rsidRDefault="000C6B4E" w:rsidP="001052AC"/>
    <w:p w14:paraId="4A99A3CA" w14:textId="77777777" w:rsidR="000C6B4E" w:rsidRPr="00322429" w:rsidRDefault="000C6B4E" w:rsidP="001052AC">
      <w:pPr>
        <w:pStyle w:val="ACDBGBODYArial11"/>
        <w:spacing w:line="240" w:lineRule="auto"/>
      </w:pPr>
      <w:r w:rsidRPr="00322429">
        <w:t xml:space="preserve">The local governing body has the final authority to award contracts and is encouraged to follow the committee’s recommendation, but may select another respondent if the minutes of the local governing body meeting include justification for the selection. </w:t>
      </w:r>
    </w:p>
    <w:p w14:paraId="032D5CE5" w14:textId="77777777" w:rsidR="000C6B4E" w:rsidRDefault="000C6B4E" w:rsidP="001052AC"/>
    <w:p w14:paraId="7E516EDE" w14:textId="77777777" w:rsidR="000C6B4E" w:rsidRDefault="000C6B4E" w:rsidP="001052AC">
      <w:pPr>
        <w:pStyle w:val="ACDBGBODYArial11"/>
        <w:spacing w:line="240" w:lineRule="auto"/>
        <w:rPr>
          <w:lang w:val="en-US"/>
        </w:rPr>
      </w:pPr>
      <w:r w:rsidRPr="008074B3">
        <w:t xml:space="preserve">The Grant </w:t>
      </w:r>
      <w:r>
        <w:rPr>
          <w:lang w:val="en-US"/>
        </w:rPr>
        <w:t>Recipient</w:t>
      </w:r>
      <w:r w:rsidRPr="0028082C">
        <w:t xml:space="preserve"> </w:t>
      </w:r>
      <w:r w:rsidRPr="008074B3">
        <w:t>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64F285E0" w14:textId="77777777" w:rsidR="000A56E6" w:rsidRDefault="000A56E6" w:rsidP="009333F8">
      <w:pPr>
        <w:pStyle w:val="BodyText"/>
        <w:jc w:val="both"/>
        <w:rPr>
          <w:rFonts w:cs="Arial"/>
          <w:sz w:val="22"/>
          <w:szCs w:val="22"/>
          <w:lang w:val="en-US"/>
        </w:rPr>
      </w:pPr>
    </w:p>
    <w:p w14:paraId="33EF6BD7" w14:textId="717FAA00" w:rsidR="000C6B4E" w:rsidRPr="00322429" w:rsidRDefault="000C6B4E" w:rsidP="009333F8">
      <w:pPr>
        <w:pStyle w:val="Arial11BOLD"/>
      </w:pPr>
      <w:r>
        <w:t xml:space="preserve">Step </w:t>
      </w:r>
      <w:r w:rsidRPr="008074B3">
        <w:t>8.1</w:t>
      </w:r>
      <w:r>
        <w:t>.</w:t>
      </w:r>
      <w:r w:rsidRPr="008074B3">
        <w:t xml:space="preserve"> Selecting the Respondent </w:t>
      </w:r>
      <w:r>
        <w:t xml:space="preserve">– </w:t>
      </w:r>
      <w:r w:rsidRPr="008074B3">
        <w:t xml:space="preserve">For </w:t>
      </w:r>
      <w:r w:rsidR="00004A6A">
        <w:t>Administration</w:t>
      </w:r>
      <w:r w:rsidRPr="008074B3">
        <w:t xml:space="preserve"> and </w:t>
      </w:r>
      <w:r>
        <w:t>O</w:t>
      </w:r>
      <w:r w:rsidRPr="008074B3">
        <w:t xml:space="preserve">ther Professional Services Contracts </w:t>
      </w:r>
      <w:r>
        <w:t>Ot</w:t>
      </w:r>
      <w:r w:rsidRPr="008074B3">
        <w:t>her than Architectural/</w:t>
      </w:r>
      <w:r w:rsidR="00C00D89" w:rsidRPr="00C00D89">
        <w:t xml:space="preserve"> </w:t>
      </w:r>
      <w:r w:rsidR="00C00D89" w:rsidRPr="008074B3">
        <w:t>Engineering/</w:t>
      </w:r>
      <w:r w:rsidRPr="008074B3">
        <w:t>Surveyors Services</w:t>
      </w:r>
    </w:p>
    <w:p w14:paraId="0308DA3F" w14:textId="77777777" w:rsidR="000C6B4E" w:rsidRPr="008074B3" w:rsidRDefault="000C6B4E" w:rsidP="001052AC">
      <w:pPr>
        <w:pStyle w:val="ACDBGBODYArial11"/>
        <w:spacing w:line="240" w:lineRule="auto"/>
        <w:rPr>
          <w:lang w:val="en-US"/>
        </w:rPr>
      </w:pPr>
      <w:r w:rsidRPr="008074B3">
        <w:t xml:space="preserve">Determine the </w:t>
      </w:r>
      <w:r w:rsidRPr="008074B3">
        <w:rPr>
          <w:lang w:val="en-US"/>
        </w:rPr>
        <w:t xml:space="preserve">most responsive and </w:t>
      </w:r>
      <w:r w:rsidRPr="008074B3">
        <w:t xml:space="preserve">responsible </w:t>
      </w:r>
      <w:r w:rsidRPr="008074B3">
        <w:rPr>
          <w:lang w:val="en-US"/>
        </w:rPr>
        <w:t>respondent</w:t>
      </w:r>
      <w:r w:rsidRPr="008074B3">
        <w:t xml:space="preserve"> whose proposal is most advantageous to the program, with price and other factors considered.</w:t>
      </w:r>
    </w:p>
    <w:p w14:paraId="05A94CC7" w14:textId="77777777" w:rsidR="000C6B4E" w:rsidRPr="008074B3" w:rsidRDefault="000C6B4E" w:rsidP="001052AC">
      <w:pPr>
        <w:pStyle w:val="ACDBGBODYArial11"/>
        <w:spacing w:line="240" w:lineRule="auto"/>
        <w:rPr>
          <w:lang w:val="en-US"/>
        </w:rPr>
      </w:pPr>
    </w:p>
    <w:p w14:paraId="4AF31003" w14:textId="4C87CCF3" w:rsidR="000C6B4E" w:rsidRPr="008074B3" w:rsidRDefault="000C6B4E" w:rsidP="001052AC">
      <w:pPr>
        <w:pStyle w:val="ACDBGBODYArial11"/>
        <w:spacing w:line="240" w:lineRule="auto"/>
        <w:rPr>
          <w:rFonts w:ascii="Georgia" w:hAnsi="Georgia"/>
          <w:sz w:val="20"/>
          <w:szCs w:val="20"/>
        </w:rPr>
      </w:pPr>
      <w:r w:rsidRPr="008074B3">
        <w:rPr>
          <w:lang w:val="en-US"/>
        </w:rPr>
        <w:t xml:space="preserve">The </w:t>
      </w:r>
      <w:r>
        <w:rPr>
          <w:lang w:val="en-US"/>
        </w:rPr>
        <w:t>Grant Recipient</w:t>
      </w:r>
      <w:r w:rsidRPr="0028082C">
        <w:t xml:space="preserve"> </w:t>
      </w:r>
      <w:r w:rsidRPr="008074B3">
        <w:rPr>
          <w:lang w:val="en-US"/>
        </w:rPr>
        <w:t xml:space="preserve">may conduct negotiations with those offerors who are deemed responsive and responsible and fall within a competitive price range, based on the </w:t>
      </w:r>
      <w:r>
        <w:rPr>
          <w:lang w:val="en-US"/>
        </w:rPr>
        <w:t xml:space="preserve">Grant Recipient’s </w:t>
      </w:r>
      <w:r w:rsidRPr="008074B3">
        <w:rPr>
          <w:lang w:val="en-US"/>
        </w:rPr>
        <w:t>evaluation of bidders’ pricing and technical proposals.</w:t>
      </w:r>
      <w:r>
        <w:rPr>
          <w:lang w:val="en-US"/>
        </w:rPr>
        <w:t xml:space="preserve"> </w:t>
      </w:r>
      <w:r w:rsidRPr="008074B3">
        <w:rPr>
          <w:lang w:val="en-US"/>
        </w:rPr>
        <w:t xml:space="preserve">After negotiations, these bidders may be given the opportunity to submit </w:t>
      </w:r>
      <w:proofErr w:type="gramStart"/>
      <w:r w:rsidRPr="008074B3">
        <w:rPr>
          <w:lang w:val="en-US"/>
        </w:rPr>
        <w:t>a best</w:t>
      </w:r>
      <w:proofErr w:type="gramEnd"/>
      <w:r w:rsidRPr="008074B3">
        <w:rPr>
          <w:lang w:val="en-US"/>
        </w:rPr>
        <w:t xml:space="preserve"> and final offer.</w:t>
      </w:r>
    </w:p>
    <w:p w14:paraId="69BA29E1" w14:textId="77777777" w:rsidR="000C6B4E" w:rsidRPr="008074B3" w:rsidRDefault="000C6B4E" w:rsidP="001052AC">
      <w:pPr>
        <w:pStyle w:val="BodyText"/>
        <w:jc w:val="both"/>
        <w:rPr>
          <w:rFonts w:cs="Arial"/>
          <w:iCs/>
          <w:sz w:val="22"/>
          <w:szCs w:val="22"/>
          <w:lang w:val="en-US"/>
        </w:rPr>
      </w:pPr>
    </w:p>
    <w:p w14:paraId="25E595C0" w14:textId="443DA955" w:rsidR="000C6B4E" w:rsidRPr="00730B3B" w:rsidRDefault="000C6B4E" w:rsidP="009333F8">
      <w:pPr>
        <w:pStyle w:val="Arial11BOLD"/>
      </w:pPr>
      <w:r>
        <w:t xml:space="preserve">Step </w:t>
      </w:r>
      <w:r w:rsidRPr="008074B3">
        <w:t>8.2</w:t>
      </w:r>
      <w:r>
        <w:t>.</w:t>
      </w:r>
      <w:r w:rsidRPr="008074B3">
        <w:t xml:space="preserve"> Selecting the Respondent </w:t>
      </w:r>
      <w:r>
        <w:t>–</w:t>
      </w:r>
      <w:r w:rsidRPr="008074B3">
        <w:t xml:space="preserve"> For Architectural/</w:t>
      </w:r>
      <w:r w:rsidR="00C00D89" w:rsidRPr="00C00D89">
        <w:t xml:space="preserve"> </w:t>
      </w:r>
      <w:r w:rsidR="00C00D89" w:rsidRPr="008074B3">
        <w:t>Engineering/</w:t>
      </w:r>
      <w:r w:rsidRPr="008074B3">
        <w:t xml:space="preserve">Surveying </w:t>
      </w:r>
      <w:r>
        <w:t>S</w:t>
      </w:r>
      <w:r w:rsidRPr="008074B3">
        <w:t>ervices</w:t>
      </w:r>
    </w:p>
    <w:p w14:paraId="73AEA7A3" w14:textId="4F4568CE" w:rsidR="000C6B4E" w:rsidRPr="00730B3B" w:rsidRDefault="000C6B4E" w:rsidP="001052AC">
      <w:pPr>
        <w:pStyle w:val="ACDBGBODYArial11"/>
        <w:spacing w:line="240" w:lineRule="auto"/>
      </w:pPr>
      <w:r w:rsidRPr="00730B3B">
        <w:t>Negotiation of price for architectural/</w:t>
      </w:r>
      <w:r w:rsidR="00C00D89" w:rsidRPr="00730B3B">
        <w:t>engineering/</w:t>
      </w:r>
      <w:r w:rsidRPr="00730B3B">
        <w:t>surveyor services must take place after selection is completed;</w:t>
      </w:r>
      <w:r>
        <w:rPr>
          <w:lang w:val="en-US"/>
        </w:rPr>
        <w:t xml:space="preserve"> </w:t>
      </w:r>
      <w:r w:rsidRPr="00603F0A">
        <w:rPr>
          <w:b/>
          <w:bCs/>
        </w:rPr>
        <w:t>proposed cost may not be a selection criteria or consideration</w:t>
      </w:r>
      <w:r w:rsidRPr="00730B3B">
        <w:t xml:space="preserve">. Proposed costs should not be disclosed by Grant </w:t>
      </w:r>
      <w:r>
        <w:rPr>
          <w:lang w:val="en-US"/>
        </w:rPr>
        <w:t>Recipient</w:t>
      </w:r>
      <w:r w:rsidRPr="0028082C">
        <w:t xml:space="preserve"> </w:t>
      </w:r>
      <w:r w:rsidRPr="00730B3B">
        <w:t xml:space="preserve">to such bidders until </w:t>
      </w:r>
      <w:r>
        <w:rPr>
          <w:lang w:val="en-US"/>
        </w:rPr>
        <w:t xml:space="preserve">the </w:t>
      </w:r>
      <w:r w:rsidRPr="00730B3B">
        <w:t>most qualified bidder has been chosen.</w:t>
      </w:r>
    </w:p>
    <w:p w14:paraId="0E61FD99" w14:textId="77777777" w:rsidR="000C6B4E" w:rsidRPr="008074B3" w:rsidRDefault="000C6B4E" w:rsidP="001052AC">
      <w:pPr>
        <w:pStyle w:val="ACDBGBODYArial11"/>
        <w:spacing w:line="240" w:lineRule="auto"/>
        <w:rPr>
          <w:lang w:val="en-US"/>
        </w:rPr>
      </w:pPr>
    </w:p>
    <w:p w14:paraId="604A80EA" w14:textId="77777777" w:rsidR="000C6B4E" w:rsidRPr="00DB36B8" w:rsidRDefault="000C6B4E" w:rsidP="001052AC">
      <w:pPr>
        <w:pStyle w:val="ACDBGBODYArial11"/>
        <w:spacing w:line="240" w:lineRule="auto"/>
      </w:pPr>
      <w:r w:rsidRPr="008074B3">
        <w:t>Determine the most qualified provider of services on the basis of demonstrated competence and qualifications.</w:t>
      </w:r>
    </w:p>
    <w:p w14:paraId="254082E7" w14:textId="77777777" w:rsidR="000C6B4E" w:rsidRDefault="000C6B4E" w:rsidP="001052AC">
      <w:pPr>
        <w:pStyle w:val="ACDBGBODYArial11"/>
        <w:spacing w:line="240" w:lineRule="auto"/>
      </w:pPr>
    </w:p>
    <w:p w14:paraId="36EA8EFE" w14:textId="77777777" w:rsidR="000C6B4E" w:rsidRPr="00966814" w:rsidRDefault="000C6B4E" w:rsidP="001052AC">
      <w:pPr>
        <w:pStyle w:val="ACDBGBODYArial11"/>
        <w:spacing w:line="240" w:lineRule="auto"/>
        <w:rPr>
          <w:i/>
          <w:lang w:val="en-US"/>
        </w:rPr>
      </w:pPr>
      <w:r w:rsidRPr="008074B3">
        <w:t>Once the most highly qualified respondent is identified, request a price proposal.</w:t>
      </w:r>
      <w:r>
        <w:rPr>
          <w:lang w:val="en-US"/>
        </w:rPr>
        <w:t xml:space="preserve"> </w:t>
      </w:r>
      <w:r w:rsidRPr="008074B3">
        <w:t>As necessary, negotiate a fair and reasonable price</w:t>
      </w:r>
      <w:r>
        <w:rPr>
          <w:lang w:val="en-US"/>
        </w:rPr>
        <w:t xml:space="preserve"> </w:t>
      </w:r>
      <w:r w:rsidRPr="00966814">
        <w:rPr>
          <w:lang w:val="en-US"/>
        </w:rPr>
        <w:t>with that provider</w:t>
      </w:r>
      <w:r w:rsidRPr="00966814">
        <w:t>.</w:t>
      </w:r>
      <w:r>
        <w:rPr>
          <w:lang w:val="en-US"/>
        </w:rPr>
        <w:t xml:space="preserve"> </w:t>
      </w:r>
      <w:r w:rsidRPr="00966814">
        <w:rPr>
          <w:lang w:val="en-US"/>
        </w:rPr>
        <w:t xml:space="preserve">Grant </w:t>
      </w:r>
      <w:r>
        <w:rPr>
          <w:lang w:val="en-US"/>
        </w:rPr>
        <w:t>Recipient</w:t>
      </w:r>
      <w:r w:rsidRPr="0028082C">
        <w:t xml:space="preserve"> </w:t>
      </w:r>
      <w:r w:rsidRPr="00966814">
        <w:rPr>
          <w:lang w:val="en-US"/>
        </w:rPr>
        <w:t>can use negotiation as an opportunity for better pricing or added value.</w:t>
      </w:r>
    </w:p>
    <w:p w14:paraId="5F7C6D27" w14:textId="77777777" w:rsidR="000C6B4E" w:rsidRDefault="000C6B4E" w:rsidP="001052AC">
      <w:pPr>
        <w:pStyle w:val="ACDBGBODYArial11"/>
        <w:spacing w:line="240" w:lineRule="auto"/>
        <w:rPr>
          <w:i/>
          <w:lang w:val="en-US"/>
        </w:rPr>
      </w:pPr>
    </w:p>
    <w:p w14:paraId="43746AED" w14:textId="77777777" w:rsidR="000C6B4E" w:rsidRDefault="000C6B4E" w:rsidP="001052AC">
      <w:pPr>
        <w:pStyle w:val="ACDBGBODYArial11"/>
        <w:spacing w:line="240" w:lineRule="auto"/>
      </w:pPr>
      <w:r w:rsidRPr="008074B3">
        <w:t>If negotiations with the most highly qualified respondent are unsuccessful, formally end negotiations with that provider. Select the next most highly qualified provider and attempt to negotiate a fair and reasonable price.</w:t>
      </w:r>
      <w:r>
        <w:rPr>
          <w:lang w:val="en-US"/>
        </w:rPr>
        <w:t xml:space="preserve"> </w:t>
      </w:r>
      <w:r w:rsidRPr="008074B3">
        <w:t>Repeat this process to select and negotiate with providers until a fair and reasonable priced contract can be awarded.</w:t>
      </w:r>
    </w:p>
    <w:p w14:paraId="6436E64E" w14:textId="0CEC5CA0" w:rsidR="000C6B4E" w:rsidRDefault="000C6B4E" w:rsidP="001052AC">
      <w:pPr>
        <w:pStyle w:val="ACDBGBODYArial11"/>
        <w:spacing w:line="240" w:lineRule="auto"/>
        <w:rPr>
          <w:i/>
        </w:rPr>
      </w:pPr>
    </w:p>
    <w:p w14:paraId="31B3857B" w14:textId="77777777" w:rsidR="00885A7E" w:rsidRPr="005C2432" w:rsidRDefault="00885A7E" w:rsidP="009333F8">
      <w:pPr>
        <w:pStyle w:val="ACDBGBODYArial11"/>
        <w:spacing w:line="240" w:lineRule="auto"/>
        <w:rPr>
          <w:lang w:val="en-US"/>
        </w:rPr>
      </w:pPr>
      <w:r>
        <w:rPr>
          <w:lang w:val="en-US"/>
        </w:rPr>
        <w:t xml:space="preserve">After completing the steps listed in this section, the Grant Recipient must complete the steps listed in </w:t>
      </w:r>
      <w:r w:rsidRPr="00FE6E46">
        <w:rPr>
          <w:i/>
          <w:iCs/>
          <w:lang w:val="en-US"/>
        </w:rPr>
        <w:t>Section 5.5 Steps for Award and Contracting</w:t>
      </w:r>
      <w:r>
        <w:rPr>
          <w:lang w:val="en-US"/>
        </w:rPr>
        <w:t>.</w:t>
      </w:r>
    </w:p>
    <w:p w14:paraId="292E20DE" w14:textId="77777777" w:rsidR="000C6B4E" w:rsidRDefault="000C6B4E" w:rsidP="009333F8">
      <w:pPr>
        <w:jc w:val="both"/>
        <w:rPr>
          <w:rFonts w:cs="Arial"/>
          <w:szCs w:val="22"/>
        </w:rPr>
      </w:pPr>
    </w:p>
    <w:p w14:paraId="69AFB904" w14:textId="77777777" w:rsidR="000C6B4E" w:rsidRDefault="000C6B4E" w:rsidP="009333F8">
      <w:pPr>
        <w:pStyle w:val="Heading2"/>
      </w:pPr>
      <w:bookmarkStart w:id="26" w:name="_Toc123110900"/>
      <w:bookmarkStart w:id="27" w:name="_Toc171786598"/>
      <w:bookmarkStart w:id="28" w:name="_Toc171786696"/>
      <w:r w:rsidRPr="00603F0A">
        <w:t>5.2.4 Selection of Subrecipient Services Provider</w:t>
      </w:r>
      <w:bookmarkEnd w:id="26"/>
      <w:bookmarkEnd w:id="27"/>
      <w:bookmarkEnd w:id="28"/>
    </w:p>
    <w:p w14:paraId="1559BC87" w14:textId="77777777" w:rsidR="000C6B4E" w:rsidRDefault="000C6B4E" w:rsidP="009333F8">
      <w:pPr>
        <w:jc w:val="both"/>
        <w:rPr>
          <w:rFonts w:cs="Arial"/>
          <w:szCs w:val="22"/>
        </w:rPr>
      </w:pPr>
    </w:p>
    <w:p w14:paraId="2EA23400" w14:textId="3EDD5FB9" w:rsidR="000C6B4E" w:rsidRDefault="000C6B4E" w:rsidP="009333F8">
      <w:pPr>
        <w:pStyle w:val="ACDBGBODYArial11"/>
        <w:spacing w:line="240" w:lineRule="auto"/>
      </w:pPr>
      <w:r>
        <w:t xml:space="preserve">Grant Recipients may also select a non-profit or intergovernmental service provider for </w:t>
      </w:r>
      <w:r w:rsidR="00004A6A">
        <w:t>administration</w:t>
      </w:r>
      <w:r>
        <w:t xml:space="preserve"> or other non-construction services through a subrecipient agreement.</w:t>
      </w:r>
      <w:r w:rsidR="004166B2">
        <w:rPr>
          <w:rStyle w:val="FootnoteReference"/>
        </w:rPr>
        <w:footnoteReference w:id="10"/>
      </w:r>
      <w:r>
        <w:t xml:space="preserve"> Texas Councils of Government </w:t>
      </w:r>
      <w:r w:rsidR="004166B2">
        <w:rPr>
          <w:lang w:val="en-US"/>
        </w:rPr>
        <w:t xml:space="preserve">are eligible </w:t>
      </w:r>
      <w:r>
        <w:t xml:space="preserve">to serve in this capacity through an intergovernmental local agreement.  </w:t>
      </w:r>
    </w:p>
    <w:p w14:paraId="1FB1BD3E" w14:textId="77777777" w:rsidR="000C6B4E" w:rsidRDefault="000C6B4E" w:rsidP="009333F8">
      <w:pPr>
        <w:pStyle w:val="ACDBGBODYArial11"/>
        <w:spacing w:line="240" w:lineRule="auto"/>
      </w:pPr>
    </w:p>
    <w:p w14:paraId="00B5B3D1" w14:textId="1AFF8616" w:rsidR="000C6B4E" w:rsidRDefault="000C6B4E" w:rsidP="009333F8">
      <w:pPr>
        <w:pStyle w:val="ACDBGBODYArial11"/>
        <w:spacing w:line="240" w:lineRule="auto"/>
      </w:pPr>
      <w:r>
        <w:t xml:space="preserve">Intergovernmental agreements are not competitive procurements and are not subject to the competitive requirements of this section. However, intergovernmental agreements are subject to </w:t>
      </w:r>
      <w:r w:rsidRPr="00FE6E46">
        <w:rPr>
          <w:i/>
          <w:iCs/>
        </w:rPr>
        <w:t>Section 5.5 Awards and Contracting</w:t>
      </w:r>
      <w:r>
        <w:t>, and all agreements must meet HUD requirements for subrecipient agreements</w:t>
      </w:r>
      <w:r w:rsidR="004166B2">
        <w:rPr>
          <w:lang w:val="en-US"/>
        </w:rPr>
        <w:t>.</w:t>
      </w:r>
      <w:r w:rsidR="004166B2">
        <w:rPr>
          <w:rStyle w:val="FootnoteReference"/>
          <w:lang w:val="en-US"/>
        </w:rPr>
        <w:footnoteReference w:id="11"/>
      </w:r>
    </w:p>
    <w:p w14:paraId="55C0068E" w14:textId="77777777" w:rsidR="000C6B4E" w:rsidRDefault="000C6B4E" w:rsidP="009333F8">
      <w:pPr>
        <w:pStyle w:val="ACDBGBODYArial11"/>
        <w:spacing w:line="240" w:lineRule="auto"/>
      </w:pPr>
    </w:p>
    <w:p w14:paraId="42C8672E" w14:textId="0599C4CB" w:rsidR="000C6B4E" w:rsidRDefault="000C6B4E" w:rsidP="009333F8">
      <w:pPr>
        <w:pStyle w:val="ACDBGBODYArial11"/>
        <w:spacing w:line="240" w:lineRule="auto"/>
      </w:pPr>
      <w:r>
        <w:t xml:space="preserve">In addition, to ensure an open selection process, intergovernmental agreements for </w:t>
      </w:r>
      <w:r w:rsidR="00004A6A">
        <w:t>administration</w:t>
      </w:r>
      <w:r>
        <w:t xml:space="preserve"> services must be selected by the local governing body prior to the subrecipient performing any work relative to the TxCDBG funded project, including work to prepare the application. Subrecipient agreements selected after beginning work on the project will be disallowed and not eligible for grant reimbursement or match credit.</w:t>
      </w:r>
    </w:p>
    <w:p w14:paraId="19FA4E03" w14:textId="4CD0C33B" w:rsidR="000C6B4E" w:rsidRDefault="000C6B4E" w:rsidP="009333F8">
      <w:pPr>
        <w:jc w:val="both"/>
        <w:rPr>
          <w:rFonts w:cs="Arial"/>
          <w:szCs w:val="22"/>
        </w:rPr>
      </w:pPr>
    </w:p>
    <w:p w14:paraId="7FDE84F9" w14:textId="77777777" w:rsidR="00535FBA" w:rsidRDefault="00535FBA" w:rsidP="009333F8">
      <w:pPr>
        <w:jc w:val="both"/>
        <w:rPr>
          <w:rFonts w:cs="Arial"/>
          <w:szCs w:val="22"/>
        </w:rPr>
      </w:pPr>
    </w:p>
    <w:p w14:paraId="328F8A47" w14:textId="77777777" w:rsidR="000C6B4E" w:rsidRPr="00E45B41" w:rsidRDefault="000C6B4E" w:rsidP="009333F8">
      <w:pPr>
        <w:pStyle w:val="Heading1"/>
      </w:pPr>
      <w:bookmarkStart w:id="29" w:name="_Toc123110901"/>
      <w:bookmarkStart w:id="30" w:name="_Toc171786599"/>
      <w:bookmarkStart w:id="31" w:name="_Toc171786697"/>
      <w:r w:rsidRPr="00E45B41">
        <w:t>5.</w:t>
      </w:r>
      <w:r>
        <w:t>3</w:t>
      </w:r>
      <w:r w:rsidRPr="00E45B41">
        <w:t xml:space="preserve"> Construction </w:t>
      </w:r>
      <w:r>
        <w:t>Services and</w:t>
      </w:r>
      <w:r w:rsidRPr="00E45B41">
        <w:t xml:space="preserve"> Materials Contracts</w:t>
      </w:r>
      <w:bookmarkEnd w:id="29"/>
      <w:bookmarkEnd w:id="30"/>
      <w:bookmarkEnd w:id="31"/>
    </w:p>
    <w:p w14:paraId="47B8A0AE" w14:textId="77777777" w:rsidR="000C6B4E" w:rsidRDefault="000C6B4E" w:rsidP="009333F8">
      <w:pPr>
        <w:pStyle w:val="ACDBGBODYArial11"/>
        <w:spacing w:line="240" w:lineRule="auto"/>
      </w:pPr>
    </w:p>
    <w:p w14:paraId="10F919B7" w14:textId="77777777" w:rsidR="000C6B4E" w:rsidRDefault="000C6B4E" w:rsidP="009333F8">
      <w:pPr>
        <w:pStyle w:val="Heading2"/>
      </w:pPr>
      <w:bookmarkStart w:id="32" w:name="_Toc123110902"/>
      <w:bookmarkStart w:id="33" w:name="_Toc171786600"/>
      <w:bookmarkStart w:id="34" w:name="_Toc171786698"/>
      <w:r w:rsidRPr="00EA6DB0">
        <w:t>5.3.1 Applicability</w:t>
      </w:r>
      <w:bookmarkEnd w:id="32"/>
      <w:bookmarkEnd w:id="33"/>
      <w:bookmarkEnd w:id="34"/>
      <w:r>
        <w:t xml:space="preserve"> </w:t>
      </w:r>
    </w:p>
    <w:p w14:paraId="3F5C478A" w14:textId="77777777" w:rsidR="000C6B4E" w:rsidRDefault="000C6B4E" w:rsidP="009333F8">
      <w:pPr>
        <w:pStyle w:val="ACDBGBODYArial11"/>
        <w:spacing w:line="240" w:lineRule="auto"/>
      </w:pPr>
    </w:p>
    <w:p w14:paraId="1526F206" w14:textId="68E80AC9" w:rsidR="008C7982" w:rsidRDefault="000C6B4E" w:rsidP="009333F8">
      <w:pPr>
        <w:pStyle w:val="ACDBGBODYArial11"/>
        <w:spacing w:line="240" w:lineRule="auto"/>
      </w:pPr>
      <w:r w:rsidRPr="00DF1BE7">
        <w:t xml:space="preserve">Construction services and materials contracts paid in whole or in part with TxCDBG funds must be procured using either the </w:t>
      </w:r>
      <w:r w:rsidR="00526DFF" w:rsidRPr="00DF1BE7">
        <w:rPr>
          <w:b/>
        </w:rPr>
        <w:t>Sealed Bids</w:t>
      </w:r>
      <w:r w:rsidR="00526DFF" w:rsidRPr="00DF1BE7">
        <w:t xml:space="preserve"> </w:t>
      </w:r>
      <w:r w:rsidRPr="00DF1BE7">
        <w:t xml:space="preserve">procurement method or the </w:t>
      </w:r>
      <w:r w:rsidR="00526DFF" w:rsidRPr="00DF1BE7">
        <w:rPr>
          <w:b/>
        </w:rPr>
        <w:t>Small Purchase</w:t>
      </w:r>
      <w:r w:rsidR="00526DFF" w:rsidRPr="00DF1BE7">
        <w:t xml:space="preserve"> </w:t>
      </w:r>
      <w:r w:rsidRPr="00DF1BE7">
        <w:t>procurement method. Grant Recipients must comply with TxCDBG program requirements in order to be considered eligible for grant funds or match injection.</w:t>
      </w:r>
      <w:r>
        <w:t xml:space="preserve"> </w:t>
      </w:r>
    </w:p>
    <w:p w14:paraId="32F2343B" w14:textId="77777777" w:rsidR="008C7982" w:rsidRDefault="008C7982" w:rsidP="009333F8">
      <w:pPr>
        <w:pStyle w:val="ACDBGBODYArial11"/>
        <w:spacing w:line="240" w:lineRule="auto"/>
      </w:pPr>
    </w:p>
    <w:p w14:paraId="4854971F" w14:textId="57BCBC46" w:rsidR="000C6B4E" w:rsidRDefault="008D4316" w:rsidP="00CC3964">
      <w:pPr>
        <w:pStyle w:val="ACDBGBODYArial11"/>
        <w:spacing w:line="240" w:lineRule="auto"/>
      </w:pPr>
      <w:r w:rsidRPr="00777C0C">
        <w:rPr>
          <w:b/>
          <w:bCs/>
          <w:color w:val="2F5496" w:themeColor="accent1" w:themeShade="BF"/>
        </w:rPr>
        <w:t>NOTE:</w:t>
      </w:r>
      <w:r w:rsidRPr="00777C0C">
        <w:rPr>
          <w:color w:val="2F5496" w:themeColor="accent1" w:themeShade="BF"/>
        </w:rPr>
        <w:t xml:space="preserve"> Pursuant to the Buy America Build America Act (BABA) Grant Recipients receiving grant funding beginning September 1, 2023, for infrastructure projects must ensure and document that all applicable products used in the project were manufactured in the United States. Grant Recipients should pay careful attention that the bidding process ensure full compliance with this regulation more specifically outlined in </w:t>
      </w:r>
      <w:r w:rsidRPr="00777C0C">
        <w:rPr>
          <w:i/>
          <w:iCs/>
          <w:color w:val="2F5496" w:themeColor="accent1" w:themeShade="BF"/>
        </w:rPr>
        <w:t>Chapter 4 Grant Agreement Special Conditions. 4.1.7 Buy America Preference</w:t>
      </w:r>
      <w:r w:rsidRPr="00777C0C">
        <w:rPr>
          <w:color w:val="2F5496" w:themeColor="accent1" w:themeShade="BF"/>
        </w:rPr>
        <w:t xml:space="preserve">.  </w:t>
      </w:r>
    </w:p>
    <w:p w14:paraId="70365EAB" w14:textId="77777777" w:rsidR="000C6B4E" w:rsidRDefault="000C6B4E" w:rsidP="009333F8">
      <w:pPr>
        <w:pStyle w:val="BodyText1"/>
        <w:tabs>
          <w:tab w:val="clear" w:pos="720"/>
        </w:tabs>
        <w:spacing w:after="0"/>
        <w:jc w:val="both"/>
        <w:rPr>
          <w:rFonts w:cs="Arial"/>
          <w:szCs w:val="22"/>
        </w:rPr>
      </w:pPr>
      <w:r w:rsidRPr="00D679CD">
        <w:rPr>
          <w:rFonts w:cs="Arial"/>
          <w:b/>
          <w:szCs w:val="22"/>
        </w:rPr>
        <w:t xml:space="preserve">Environmental clearance must be completed before the Grant </w:t>
      </w:r>
      <w:r>
        <w:rPr>
          <w:rFonts w:cs="Arial"/>
          <w:b/>
          <w:szCs w:val="22"/>
        </w:rPr>
        <w:t>R</w:t>
      </w:r>
      <w:r w:rsidRPr="00D679CD">
        <w:rPr>
          <w:rFonts w:cs="Arial"/>
          <w:b/>
          <w:szCs w:val="22"/>
        </w:rPr>
        <w:t xml:space="preserve">ecipient executes any construction </w:t>
      </w:r>
      <w:r>
        <w:rPr>
          <w:rFonts w:cs="Arial"/>
          <w:b/>
          <w:szCs w:val="22"/>
        </w:rPr>
        <w:t xml:space="preserve">or </w:t>
      </w:r>
      <w:r w:rsidRPr="00D679CD">
        <w:rPr>
          <w:rFonts w:cs="Arial"/>
          <w:b/>
          <w:szCs w:val="22"/>
        </w:rPr>
        <w:t>materials contract</w:t>
      </w:r>
      <w:r>
        <w:rPr>
          <w:rFonts w:cs="Arial"/>
          <w:b/>
          <w:szCs w:val="22"/>
        </w:rPr>
        <w:t>.</w:t>
      </w:r>
    </w:p>
    <w:p w14:paraId="1333B8B2" w14:textId="77777777" w:rsidR="000C6B4E" w:rsidRDefault="000C6B4E" w:rsidP="009333F8">
      <w:pPr>
        <w:pStyle w:val="BodyText1"/>
        <w:tabs>
          <w:tab w:val="clear" w:pos="720"/>
        </w:tabs>
        <w:spacing w:after="0"/>
        <w:jc w:val="both"/>
        <w:rPr>
          <w:rFonts w:cs="Arial"/>
          <w:szCs w:val="22"/>
        </w:rPr>
      </w:pPr>
    </w:p>
    <w:p w14:paraId="42414A6C" w14:textId="77777777" w:rsidR="000C6B4E" w:rsidRPr="000B4E11" w:rsidRDefault="000C6B4E" w:rsidP="009333F8">
      <w:pPr>
        <w:pStyle w:val="Heading2"/>
      </w:pPr>
      <w:bookmarkStart w:id="35" w:name="_Toc123110903"/>
      <w:bookmarkStart w:id="36" w:name="_Toc171786601"/>
      <w:bookmarkStart w:id="37" w:name="_Toc171786699"/>
      <w:r>
        <w:t>5.3.2</w:t>
      </w:r>
      <w:r w:rsidRPr="000B4E11">
        <w:t xml:space="preserve"> Sealed Bid Procurement</w:t>
      </w:r>
      <w:r>
        <w:t xml:space="preserve"> – Traditional Method</w:t>
      </w:r>
      <w:bookmarkEnd w:id="35"/>
      <w:bookmarkEnd w:id="36"/>
      <w:bookmarkEnd w:id="37"/>
    </w:p>
    <w:p w14:paraId="5DD0EF31" w14:textId="77777777" w:rsidR="000C6B4E" w:rsidRDefault="000C6B4E" w:rsidP="009333F8">
      <w:pPr>
        <w:pStyle w:val="ACDBGBODYArial11"/>
        <w:spacing w:line="240" w:lineRule="auto"/>
      </w:pPr>
    </w:p>
    <w:p w14:paraId="33752276" w14:textId="77777777" w:rsidR="000C6B4E" w:rsidRPr="00DB36B8" w:rsidRDefault="000C6B4E" w:rsidP="009333F8">
      <w:pPr>
        <w:pStyle w:val="ACDBGBODYArial11"/>
        <w:spacing w:line="240" w:lineRule="auto"/>
      </w:pPr>
      <w:r w:rsidRPr="00DF1BE7">
        <w:t>Sealed bids are publicly solicited and a firm, fixed-price contract (lump sum or unit price) is awarded to the responsible respondent whose bid, conforming with all the material terms</w:t>
      </w:r>
      <w:r w:rsidRPr="00DF1BE7">
        <w:rPr>
          <w:lang w:val="en-US"/>
        </w:rPr>
        <w:t xml:space="preserve"> and </w:t>
      </w:r>
      <w:r w:rsidRPr="00DF1BE7">
        <w:t>conditions of the invitation for bids, is lowest and best in price</w:t>
      </w:r>
      <w:r w:rsidRPr="00DF1BE7">
        <w:rPr>
          <w:lang w:val="en-US"/>
        </w:rPr>
        <w:t xml:space="preserve">. </w:t>
      </w:r>
      <w:r w:rsidRPr="00DF1BE7">
        <w:t xml:space="preserve">See </w:t>
      </w:r>
      <w:r w:rsidRPr="00DF1BE7">
        <w:rPr>
          <w:b/>
          <w:i/>
          <w:iCs/>
        </w:rPr>
        <w:t>Appendix F</w:t>
      </w:r>
      <w:r w:rsidRPr="00DF1BE7">
        <w:rPr>
          <w:b/>
        </w:rPr>
        <w:t xml:space="preserve"> and </w:t>
      </w:r>
      <w:r w:rsidRPr="00DF1BE7">
        <w:rPr>
          <w:b/>
          <w:i/>
          <w:iCs/>
        </w:rPr>
        <w:t>Appendix G</w:t>
      </w:r>
      <w:r w:rsidRPr="00DF1BE7">
        <w:t xml:space="preserve"> for sample bid and contract documents for construction and material contracts, respectively</w:t>
      </w:r>
      <w:r w:rsidRPr="00DF1BE7">
        <w:rPr>
          <w:lang w:val="en-US"/>
        </w:rPr>
        <w:t>.</w:t>
      </w:r>
      <w:r w:rsidRPr="00E45B41">
        <w:t xml:space="preserve"> </w:t>
      </w:r>
    </w:p>
    <w:p w14:paraId="2FB7E5C8" w14:textId="77777777" w:rsidR="000C6B4E" w:rsidRPr="00E45B41" w:rsidRDefault="000C6B4E" w:rsidP="00B16DFB"/>
    <w:p w14:paraId="3CF6E620" w14:textId="77777777" w:rsidR="000C6B4E" w:rsidRPr="00EA6DB0" w:rsidRDefault="000C6B4E" w:rsidP="009333F8">
      <w:pPr>
        <w:pStyle w:val="Arial11BOLD"/>
      </w:pPr>
      <w:r w:rsidRPr="00EA6DB0">
        <w:t>Step 1</w:t>
      </w:r>
      <w:r>
        <w:t xml:space="preserve">. </w:t>
      </w:r>
      <w:r w:rsidRPr="00EA6DB0">
        <w:t>Prepare Bid Package</w:t>
      </w:r>
    </w:p>
    <w:p w14:paraId="66E72381" w14:textId="77777777" w:rsidR="000C6B4E" w:rsidRDefault="000C6B4E" w:rsidP="001052AC">
      <w:pPr>
        <w:pStyle w:val="ACDBGBODYArial11"/>
        <w:spacing w:line="240" w:lineRule="auto"/>
      </w:pPr>
      <w:r w:rsidRPr="009F3769">
        <w:t xml:space="preserve">The Grant Recipient must prepare a bid package detailing the specific goods or services to be provided by the contractor. This package should provide sufficient technical information for potential bidders to submit a competitive bid. </w:t>
      </w:r>
    </w:p>
    <w:p w14:paraId="4C49E973" w14:textId="77777777" w:rsidR="000C6B4E" w:rsidRDefault="000C6B4E" w:rsidP="005F4682">
      <w:pPr>
        <w:pStyle w:val="BULLETS"/>
        <w:numPr>
          <w:ilvl w:val="0"/>
          <w:numId w:val="23"/>
        </w:numPr>
        <w:spacing w:line="240" w:lineRule="auto"/>
        <w:ind w:left="720"/>
      </w:pPr>
      <w:r>
        <w:t xml:space="preserve">The use of additive alternatives is </w:t>
      </w:r>
      <w:r w:rsidRPr="004C1AE7">
        <w:rPr>
          <w:u w:val="single"/>
        </w:rPr>
        <w:t>strongly recommended</w:t>
      </w:r>
      <w:r>
        <w:t xml:space="preserve"> to give Grant Recipients maximum flexibility to award a contract that fits within the available budget and provides the maximum benefit to the community.</w:t>
      </w:r>
    </w:p>
    <w:p w14:paraId="4A8DB599" w14:textId="1CFF15D2" w:rsidR="000C6B4E" w:rsidRDefault="000C6B4E" w:rsidP="005F4682">
      <w:pPr>
        <w:pStyle w:val="BULLETS"/>
        <w:numPr>
          <w:ilvl w:val="0"/>
          <w:numId w:val="23"/>
        </w:numPr>
        <w:spacing w:line="240" w:lineRule="auto"/>
        <w:ind w:left="720"/>
      </w:pPr>
      <w:r w:rsidRPr="009F3769">
        <w:t xml:space="preserve">If a construction contract includes both a TxCDBG project and a separate project not included in the </w:t>
      </w:r>
      <w:r w:rsidR="004166B2">
        <w:t>P</w:t>
      </w:r>
      <w:r w:rsidRPr="009F3769">
        <w:t xml:space="preserve">erformance </w:t>
      </w:r>
      <w:r w:rsidR="004166B2">
        <w:t>S</w:t>
      </w:r>
      <w:r w:rsidRPr="009F3769">
        <w:t xml:space="preserve">tatement of the </w:t>
      </w:r>
      <w:r w:rsidR="00446814">
        <w:t>Grant Agreement</w:t>
      </w:r>
      <w:r w:rsidRPr="009F3769">
        <w:t xml:space="preserve"> or claimed as match</w:t>
      </w:r>
      <w:r>
        <w:t xml:space="preserve">, </w:t>
      </w:r>
      <w:r w:rsidRPr="009F3769">
        <w:t>to be paid by the Grant Recipient or another funding source, the construction contract should clearly indicate the work and the costs associated with each project.</w:t>
      </w:r>
    </w:p>
    <w:p w14:paraId="3C3654B2" w14:textId="77777777" w:rsidR="004166B2" w:rsidRDefault="004166B2" w:rsidP="001052AC">
      <w:pPr>
        <w:pStyle w:val="BULLETS"/>
        <w:numPr>
          <w:ilvl w:val="0"/>
          <w:numId w:val="0"/>
        </w:numPr>
        <w:spacing w:line="240" w:lineRule="auto"/>
        <w:ind w:left="360"/>
      </w:pPr>
    </w:p>
    <w:p w14:paraId="53B7FD1E" w14:textId="6C16A958" w:rsidR="004166B2" w:rsidRDefault="004166B2" w:rsidP="001052AC">
      <w:pPr>
        <w:pStyle w:val="1BODY-Arial11"/>
        <w:spacing w:line="240" w:lineRule="auto"/>
      </w:pPr>
      <w:r>
        <w:t xml:space="preserve">Update the MSR regarding the bid package. Detailed step-by-step instructions for completing and submitting an MSR in TDA-GO may be found on the TDA website. </w:t>
      </w:r>
    </w:p>
    <w:p w14:paraId="77570240" w14:textId="77777777" w:rsidR="000C6B4E" w:rsidRPr="00E45B41" w:rsidRDefault="000C6B4E" w:rsidP="001052AC"/>
    <w:p w14:paraId="5FFE5319" w14:textId="3C7A0451" w:rsidR="000C6B4E" w:rsidRPr="00E45B41" w:rsidRDefault="000C6B4E" w:rsidP="009333F8">
      <w:pPr>
        <w:pStyle w:val="Arial11BOLD"/>
      </w:pPr>
      <w:r>
        <w:t>Step</w:t>
      </w:r>
      <w:r w:rsidRPr="00E45B41">
        <w:t xml:space="preserve"> 2</w:t>
      </w:r>
      <w:r>
        <w:t xml:space="preserve">. </w:t>
      </w:r>
      <w:r w:rsidRPr="00E45B41">
        <w:t xml:space="preserve">Comply with Davis-Bacon Act </w:t>
      </w:r>
      <w:r>
        <w:t>R</w:t>
      </w:r>
      <w:r w:rsidRPr="00E45B41">
        <w:t>equirements</w:t>
      </w:r>
    </w:p>
    <w:p w14:paraId="3AC6DE0B" w14:textId="514DD9A9" w:rsidR="000C6B4E" w:rsidRDefault="000C6B4E" w:rsidP="001052AC">
      <w:pPr>
        <w:pStyle w:val="ACDBGBODYArial11"/>
        <w:spacing w:line="240" w:lineRule="auto"/>
      </w:pPr>
      <w:r>
        <w:rPr>
          <w:lang w:val="en-US"/>
        </w:rPr>
        <w:t xml:space="preserve">For bids that include construction work, </w:t>
      </w:r>
      <w:proofErr w:type="spellStart"/>
      <w:r>
        <w:rPr>
          <w:lang w:val="en-US"/>
        </w:rPr>
        <w:t>t</w:t>
      </w:r>
      <w:r w:rsidRPr="00E45B41">
        <w:t>he</w:t>
      </w:r>
      <w:proofErr w:type="spellEnd"/>
      <w:r w:rsidRPr="00E45B41">
        <w:t xml:space="preserve"> Grant Recipient must obtain prevailing wage rates for the local area as required by the Davis-Bacon </w:t>
      </w:r>
      <w:r w:rsidR="00C00D89">
        <w:rPr>
          <w:lang w:val="en-US"/>
        </w:rPr>
        <w:t xml:space="preserve">Act </w:t>
      </w:r>
      <w:r w:rsidRPr="00E45B41">
        <w:t>and Related Acts</w:t>
      </w:r>
      <w:r>
        <w:t xml:space="preserve"> </w:t>
      </w:r>
      <w:r w:rsidR="00C00D89">
        <w:rPr>
          <w:lang w:val="en-US"/>
        </w:rPr>
        <w:t xml:space="preserve">(DBRA) </w:t>
      </w:r>
      <w:r w:rsidRPr="00E45B41">
        <w:t>and incorporate those wage rates into the procure</w:t>
      </w:r>
      <w:r w:rsidRPr="00DD3A91">
        <w:t>ment for construction</w:t>
      </w:r>
      <w:r w:rsidR="004166B2">
        <w:rPr>
          <w:lang w:val="en-US"/>
        </w:rPr>
        <w:t xml:space="preserve">, </w:t>
      </w:r>
      <w:r w:rsidR="0031321F">
        <w:rPr>
          <w:lang w:val="en-US"/>
        </w:rPr>
        <w:t>see</w:t>
      </w:r>
      <w:r w:rsidR="0031321F" w:rsidRPr="00DD3A91">
        <w:t xml:space="preserve"> </w:t>
      </w:r>
      <w:r w:rsidRPr="00490AAB">
        <w:rPr>
          <w:i/>
          <w:iCs/>
        </w:rPr>
        <w:t>Chapter 7</w:t>
      </w:r>
      <w:r>
        <w:rPr>
          <w:lang w:val="en-US"/>
        </w:rPr>
        <w:t xml:space="preserve"> </w:t>
      </w:r>
      <w:r w:rsidRPr="00846929">
        <w:rPr>
          <w:i/>
          <w:iCs/>
        </w:rPr>
        <w:t>Davis</w:t>
      </w:r>
      <w:r w:rsidR="004166B2">
        <w:rPr>
          <w:i/>
          <w:iCs/>
          <w:lang w:val="en-US"/>
        </w:rPr>
        <w:t>-</w:t>
      </w:r>
      <w:r w:rsidRPr="00846929">
        <w:rPr>
          <w:i/>
          <w:iCs/>
        </w:rPr>
        <w:t>Bacon Labor Standards</w:t>
      </w:r>
      <w:r w:rsidRPr="00DD3A91">
        <w:t xml:space="preserve"> for specific</w:t>
      </w:r>
      <w:r w:rsidRPr="00E45B41">
        <w:t xml:space="preserve"> information on the Davis-Bacon Act.</w:t>
      </w:r>
    </w:p>
    <w:p w14:paraId="7A411E6A" w14:textId="77777777" w:rsidR="000C6B4E" w:rsidRDefault="000C6B4E" w:rsidP="001052AC">
      <w:pPr>
        <w:pStyle w:val="ACDBGBODYArial11"/>
        <w:spacing w:line="240" w:lineRule="auto"/>
      </w:pPr>
    </w:p>
    <w:p w14:paraId="2D325F27" w14:textId="592BBDB8" w:rsidR="004166B2" w:rsidRDefault="004166B2" w:rsidP="001052AC">
      <w:pPr>
        <w:pStyle w:val="1BODY-Arial11"/>
        <w:spacing w:line="240" w:lineRule="auto"/>
      </w:pPr>
      <w:r>
        <w:t xml:space="preserve">Update the MSR regarding the DBRA statistics. Detailed step-by-step instructions for completing and submitting an MSR in TDA-GO may be found on the TDA website. </w:t>
      </w:r>
    </w:p>
    <w:p w14:paraId="2F594CCC" w14:textId="77777777" w:rsidR="000C6B4E" w:rsidRDefault="000C6B4E" w:rsidP="009333F8"/>
    <w:p w14:paraId="0FE40494" w14:textId="77777777" w:rsidR="000C6B4E" w:rsidRPr="009F3769" w:rsidRDefault="000C6B4E" w:rsidP="009333F8">
      <w:pPr>
        <w:pStyle w:val="Arial11BOLD"/>
      </w:pPr>
      <w:r>
        <w:t>Step</w:t>
      </w:r>
      <w:r w:rsidRPr="009F3769">
        <w:t xml:space="preserve"> 3</w:t>
      </w:r>
      <w:r>
        <w:t xml:space="preserve">. </w:t>
      </w:r>
      <w:r w:rsidRPr="009F3769">
        <w:t>Advertise for Bids</w:t>
      </w:r>
    </w:p>
    <w:p w14:paraId="39906CC5" w14:textId="77777777" w:rsidR="000C6B4E" w:rsidRPr="00E45B41" w:rsidRDefault="000C6B4E" w:rsidP="001052AC">
      <w:pPr>
        <w:pStyle w:val="ACDBGBODYArial11"/>
        <w:spacing w:line="240" w:lineRule="auto"/>
      </w:pPr>
      <w:r w:rsidRPr="00E45B41">
        <w:t xml:space="preserve">The procedure for advertising for bids is as follows: </w:t>
      </w:r>
    </w:p>
    <w:p w14:paraId="74A99496" w14:textId="77777777" w:rsidR="000C6B4E" w:rsidRPr="00057E28" w:rsidRDefault="000C6B4E" w:rsidP="005F4682">
      <w:pPr>
        <w:pStyle w:val="BULLETS"/>
        <w:numPr>
          <w:ilvl w:val="0"/>
          <w:numId w:val="22"/>
        </w:numPr>
        <w:spacing w:line="240" w:lineRule="auto"/>
      </w:pPr>
      <w:r w:rsidRPr="00057E28">
        <w:t xml:space="preserve">Publish once a week for two consecutive weeks prior to bid </w:t>
      </w:r>
      <w:proofErr w:type="gramStart"/>
      <w:r w:rsidRPr="00057E28">
        <w:t>opening;</w:t>
      </w:r>
      <w:proofErr w:type="gramEnd"/>
    </w:p>
    <w:p w14:paraId="6E4BB58D" w14:textId="5724FF21" w:rsidR="000C6B4E" w:rsidRPr="00057E28" w:rsidRDefault="00B0653A" w:rsidP="005F4682">
      <w:pPr>
        <w:pStyle w:val="BULLETS"/>
        <w:numPr>
          <w:ilvl w:val="0"/>
          <w:numId w:val="22"/>
        </w:numPr>
        <w:spacing w:line="240" w:lineRule="auto"/>
      </w:pPr>
      <w:r w:rsidRPr="00057E28">
        <w:t>E</w:t>
      </w:r>
      <w:r w:rsidR="000C6B4E" w:rsidRPr="00057E28">
        <w:t xml:space="preserve">nsure that the first publication date is at </w:t>
      </w:r>
      <w:r w:rsidR="00415E7E" w:rsidRPr="00057E28">
        <w:t xml:space="preserve">least </w:t>
      </w:r>
      <w:r w:rsidR="000C6B4E" w:rsidRPr="00057E28">
        <w:t xml:space="preserve">fifteen </w:t>
      </w:r>
      <w:r w:rsidRPr="00057E28">
        <w:t xml:space="preserve">(15) </w:t>
      </w:r>
      <w:r w:rsidR="000C6B4E" w:rsidRPr="00057E28">
        <w:t>days prior to the bid opening date</w:t>
      </w:r>
      <w:r w:rsidRPr="00057E28">
        <w:t xml:space="preserve"> (applies to both municipalities and counties</w:t>
      </w:r>
      <w:proofErr w:type="gramStart"/>
      <w:r w:rsidRPr="00057E28">
        <w:t>)</w:t>
      </w:r>
      <w:r w:rsidR="000C6B4E" w:rsidRPr="00057E28">
        <w:t>;</w:t>
      </w:r>
      <w:proofErr w:type="gramEnd"/>
      <w:r w:rsidR="000C6B4E" w:rsidRPr="00057E28">
        <w:t xml:space="preserve"> </w:t>
      </w:r>
    </w:p>
    <w:p w14:paraId="6980E20C" w14:textId="77777777" w:rsidR="000C6B4E" w:rsidRPr="009F3769" w:rsidRDefault="000C6B4E" w:rsidP="005F4682">
      <w:pPr>
        <w:pStyle w:val="BULLETS"/>
        <w:numPr>
          <w:ilvl w:val="0"/>
          <w:numId w:val="22"/>
        </w:numPr>
        <w:spacing w:line="240" w:lineRule="auto"/>
      </w:pPr>
      <w:r w:rsidRPr="009F3769">
        <w:t xml:space="preserve">Ensure that the two published notices are at least seven days </w:t>
      </w:r>
      <w:proofErr w:type="gramStart"/>
      <w:r w:rsidRPr="009F3769">
        <w:t>apart;</w:t>
      </w:r>
      <w:proofErr w:type="gramEnd"/>
    </w:p>
    <w:p w14:paraId="106CE212" w14:textId="77777777" w:rsidR="000C6B4E" w:rsidRPr="009F3769" w:rsidRDefault="000C6B4E" w:rsidP="005F4682">
      <w:pPr>
        <w:pStyle w:val="BULLETS"/>
        <w:numPr>
          <w:ilvl w:val="0"/>
          <w:numId w:val="22"/>
        </w:numPr>
        <w:spacing w:line="240" w:lineRule="auto"/>
      </w:pPr>
      <w:r w:rsidRPr="009F3769">
        <w:t xml:space="preserve">Describe work or item to be purchased or </w:t>
      </w:r>
      <w:r>
        <w:t>cite</w:t>
      </w:r>
      <w:r w:rsidRPr="009F3769">
        <w:t xml:space="preserve"> where specifications can be </w:t>
      </w:r>
      <w:proofErr w:type="gramStart"/>
      <w:r w:rsidRPr="009F3769">
        <w:t>obtained;</w:t>
      </w:r>
      <w:proofErr w:type="gramEnd"/>
    </w:p>
    <w:p w14:paraId="3C297BBF" w14:textId="77777777" w:rsidR="000C6B4E" w:rsidRPr="009F3769" w:rsidRDefault="000C6B4E" w:rsidP="005F4682">
      <w:pPr>
        <w:pStyle w:val="BULLETS"/>
        <w:numPr>
          <w:ilvl w:val="0"/>
          <w:numId w:val="22"/>
        </w:numPr>
        <w:spacing w:line="240" w:lineRule="auto"/>
      </w:pPr>
      <w:r w:rsidRPr="009F3769">
        <w:t xml:space="preserve">Include time and place for receiving and </w:t>
      </w:r>
      <w:proofErr w:type="gramStart"/>
      <w:r w:rsidRPr="009F3769">
        <w:t>opening</w:t>
      </w:r>
      <w:r w:rsidRPr="00EA6DB0">
        <w:t>;</w:t>
      </w:r>
      <w:proofErr w:type="gramEnd"/>
    </w:p>
    <w:p w14:paraId="1E7D1280" w14:textId="77777777" w:rsidR="000C6B4E" w:rsidRPr="009F3769" w:rsidRDefault="000C6B4E" w:rsidP="005F4682">
      <w:pPr>
        <w:pStyle w:val="BULLETS"/>
        <w:numPr>
          <w:ilvl w:val="0"/>
          <w:numId w:val="22"/>
        </w:numPr>
        <w:spacing w:line="240" w:lineRule="auto"/>
      </w:pPr>
      <w:r w:rsidRPr="009F3769">
        <w:t xml:space="preserve">Include name and position of local official or employee to whom bids are </w:t>
      </w:r>
      <w:proofErr w:type="gramStart"/>
      <w:r w:rsidRPr="009F3769">
        <w:t>sent;</w:t>
      </w:r>
      <w:proofErr w:type="gramEnd"/>
    </w:p>
    <w:p w14:paraId="3F3B703F" w14:textId="77777777" w:rsidR="000C6B4E" w:rsidRPr="009F3769" w:rsidRDefault="000C6B4E" w:rsidP="005F4682">
      <w:pPr>
        <w:pStyle w:val="BULLETS"/>
        <w:numPr>
          <w:ilvl w:val="0"/>
          <w:numId w:val="22"/>
        </w:numPr>
        <w:spacing w:line="240" w:lineRule="auto"/>
      </w:pPr>
      <w:r w:rsidRPr="009F3769">
        <w:t xml:space="preserve">Indicate whether bidder should use lump-sum or unit </w:t>
      </w:r>
      <w:proofErr w:type="gramStart"/>
      <w:r w:rsidRPr="009F3769">
        <w:t>pricing;</w:t>
      </w:r>
      <w:proofErr w:type="gramEnd"/>
    </w:p>
    <w:p w14:paraId="664E001E" w14:textId="77777777" w:rsidR="000C6B4E" w:rsidRPr="009F3769" w:rsidRDefault="000C6B4E" w:rsidP="005F4682">
      <w:pPr>
        <w:pStyle w:val="BULLETS"/>
        <w:numPr>
          <w:ilvl w:val="0"/>
          <w:numId w:val="22"/>
        </w:numPr>
        <w:spacing w:line="240" w:lineRule="auto"/>
      </w:pPr>
      <w:r w:rsidRPr="009F3769">
        <w:t xml:space="preserve">Indicate method of payment by Grant </w:t>
      </w:r>
      <w:proofErr w:type="gramStart"/>
      <w:r w:rsidRPr="009F3769">
        <w:t>Recipient;</w:t>
      </w:r>
      <w:proofErr w:type="gramEnd"/>
    </w:p>
    <w:p w14:paraId="596779EE" w14:textId="77777777" w:rsidR="000C6B4E" w:rsidRPr="009F3769" w:rsidRDefault="000C6B4E" w:rsidP="005F4682">
      <w:pPr>
        <w:pStyle w:val="BULLETS"/>
        <w:numPr>
          <w:ilvl w:val="0"/>
          <w:numId w:val="22"/>
        </w:numPr>
        <w:spacing w:line="240" w:lineRule="auto"/>
      </w:pPr>
      <w:r w:rsidRPr="009F3769">
        <w:t xml:space="preserve">Indicate type(s) of bond(s) required by the </w:t>
      </w:r>
      <w:proofErr w:type="gramStart"/>
      <w:r w:rsidRPr="009F3769">
        <w:t>bidder;</w:t>
      </w:r>
      <w:proofErr w:type="gramEnd"/>
    </w:p>
    <w:p w14:paraId="71BD830A" w14:textId="1A299F31" w:rsidR="000C6B4E" w:rsidRPr="009F3769" w:rsidRDefault="000C6B4E" w:rsidP="005F4682">
      <w:pPr>
        <w:pStyle w:val="BULLETS"/>
        <w:numPr>
          <w:ilvl w:val="0"/>
          <w:numId w:val="22"/>
        </w:numPr>
        <w:spacing w:line="240" w:lineRule="auto"/>
      </w:pPr>
      <w:r w:rsidRPr="009F3769">
        <w:t xml:space="preserve">Indicate whether contract will be awarded within </w:t>
      </w:r>
      <w:r w:rsidR="00B0653A" w:rsidRPr="00B0653A">
        <w:t xml:space="preserve">a specified timeframe (e.g., </w:t>
      </w:r>
      <w:r w:rsidRPr="009F3769">
        <w:t>30</w:t>
      </w:r>
      <w:r>
        <w:t xml:space="preserve"> </w:t>
      </w:r>
      <w:r w:rsidRPr="009F3769">
        <w:t xml:space="preserve">or </w:t>
      </w:r>
      <w:r>
        <w:t xml:space="preserve">60 </w:t>
      </w:r>
      <w:r w:rsidRPr="009F3769">
        <w:t>days</w:t>
      </w:r>
      <w:r w:rsidR="00B0653A">
        <w:t>)</w:t>
      </w:r>
      <w:r w:rsidRPr="009F3769">
        <w:t>; and</w:t>
      </w:r>
    </w:p>
    <w:p w14:paraId="0E58FFD6" w14:textId="107B42E5" w:rsidR="000C6B4E" w:rsidRDefault="000C6B4E" w:rsidP="005F4682">
      <w:pPr>
        <w:pStyle w:val="BULLETS"/>
        <w:numPr>
          <w:ilvl w:val="0"/>
          <w:numId w:val="22"/>
        </w:numPr>
        <w:spacing w:line="240" w:lineRule="auto"/>
      </w:pPr>
      <w:r w:rsidRPr="009F3769">
        <w:t xml:space="preserve">Identify TxCDBG </w:t>
      </w:r>
      <w:r w:rsidR="00B0653A">
        <w:t>grant agreement</w:t>
      </w:r>
      <w:r w:rsidR="00B0653A" w:rsidRPr="009F3769">
        <w:t xml:space="preserve"> </w:t>
      </w:r>
      <w:r w:rsidRPr="009F3769">
        <w:t>number.</w:t>
      </w:r>
    </w:p>
    <w:p w14:paraId="075B691F" w14:textId="63C1F36D" w:rsidR="000C6B4E" w:rsidRPr="009F3769" w:rsidRDefault="000C6B4E" w:rsidP="005F4682">
      <w:pPr>
        <w:pStyle w:val="BULLETS"/>
        <w:numPr>
          <w:ilvl w:val="0"/>
          <w:numId w:val="22"/>
        </w:numPr>
        <w:spacing w:line="240" w:lineRule="auto"/>
      </w:pPr>
      <w:r w:rsidRPr="00DE699C">
        <w:t xml:space="preserve">If there is no newspaper of general circulation in the city or the </w:t>
      </w:r>
      <w:r w:rsidRPr="000F70A2">
        <w:t xml:space="preserve">county, the notice must be posted at the city hall or in a prominent place in the courthouse for </w:t>
      </w:r>
      <w:r w:rsidR="00B0653A" w:rsidRPr="000F70A2">
        <w:t xml:space="preserve">fifteen (15) </w:t>
      </w:r>
      <w:r w:rsidRPr="000F70A2">
        <w:t xml:space="preserve">days before </w:t>
      </w:r>
      <w:r w:rsidRPr="00DE699C">
        <w:t>the date of the bid opening.</w:t>
      </w:r>
      <w:r>
        <w:t xml:space="preserve"> The postings must be documented by affidavit and photo evidence in accordance with public notice policy in </w:t>
      </w:r>
      <w:r w:rsidRPr="00EA6DB0">
        <w:rPr>
          <w:i/>
          <w:iCs/>
        </w:rPr>
        <w:t>Chapter 1</w:t>
      </w:r>
      <w:r w:rsidR="004166B2">
        <w:rPr>
          <w:i/>
          <w:iCs/>
        </w:rPr>
        <w:t xml:space="preserve"> Administration and Reporting</w:t>
      </w:r>
      <w:r w:rsidRPr="00EA6DB0">
        <w:rPr>
          <w:i/>
          <w:iCs/>
        </w:rPr>
        <w:t>.</w:t>
      </w:r>
      <w:r>
        <w:t xml:space="preserve"> If postings are used, the Grant Recipient is encouraged to use web resources</w:t>
      </w:r>
      <w:r w:rsidR="00C00D89">
        <w:t>,</w:t>
      </w:r>
      <w:r>
        <w:t xml:space="preserve"> such as the Dodge Report and </w:t>
      </w:r>
      <w:proofErr w:type="spellStart"/>
      <w:r>
        <w:t>Civcast</w:t>
      </w:r>
      <w:proofErr w:type="spellEnd"/>
      <w:r w:rsidR="00C00D89">
        <w:t>,</w:t>
      </w:r>
      <w:r>
        <w:t xml:space="preserve"> to further publicize bidding opportunities to qualified contractors.</w:t>
      </w:r>
    </w:p>
    <w:p w14:paraId="58DC7C76" w14:textId="77777777" w:rsidR="000C6B4E" w:rsidRPr="00E45B41" w:rsidRDefault="000C6B4E" w:rsidP="009333F8">
      <w:pPr>
        <w:jc w:val="both"/>
        <w:rPr>
          <w:rFonts w:cs="Arial"/>
          <w:szCs w:val="22"/>
        </w:rPr>
      </w:pPr>
    </w:p>
    <w:p w14:paraId="1D9FAF88" w14:textId="103559F1" w:rsidR="000C6B4E" w:rsidRDefault="000C6B4E" w:rsidP="001052AC">
      <w:pPr>
        <w:pStyle w:val="ACDBGBODYArial11"/>
        <w:spacing w:line="240" w:lineRule="auto"/>
      </w:pPr>
      <w:r w:rsidRPr="009F3769">
        <w:t>If an addendum to the bid package is necessary, it must be distributed to each potential bidder. The distribution of an addendum shall be verified either by statements of receipt or registered/certified mail receipts, which shall be included in the public works construction file.</w:t>
      </w:r>
      <w:r>
        <w:rPr>
          <w:lang w:val="en-US"/>
        </w:rPr>
        <w:t xml:space="preserve"> </w:t>
      </w:r>
      <w:r w:rsidRPr="009F3769">
        <w:t>The addendum shall allow adequate time for consideration in bid preparation</w:t>
      </w:r>
      <w:r w:rsidR="004166B2">
        <w:rPr>
          <w:lang w:val="en-US"/>
        </w:rPr>
        <w:t xml:space="preserve">, </w:t>
      </w:r>
      <w:r w:rsidRPr="009F3769">
        <w:t>usually at least one week. If adequate time is not available, the bid opening date must be extended and the Grant Recipient must republish the invitation for bids containing the place, time, and date for the new bid opening. </w:t>
      </w:r>
    </w:p>
    <w:p w14:paraId="121DC721" w14:textId="77777777" w:rsidR="000C6B4E" w:rsidRDefault="000C6B4E" w:rsidP="001052AC">
      <w:pPr>
        <w:pStyle w:val="ACDBGBODYArial11"/>
        <w:spacing w:line="240" w:lineRule="auto"/>
      </w:pPr>
    </w:p>
    <w:p w14:paraId="1B6D04D9" w14:textId="649FBA20" w:rsidR="000C6B4E" w:rsidRPr="003033D7" w:rsidRDefault="000C6B4E" w:rsidP="001052AC">
      <w:pPr>
        <w:pStyle w:val="ACDBGBODYArial11"/>
        <w:spacing w:line="240" w:lineRule="auto"/>
        <w:rPr>
          <w:lang w:val="en-US"/>
        </w:rPr>
      </w:pPr>
      <w:r w:rsidRPr="009F3769">
        <w:rPr>
          <w:b/>
          <w:bCs/>
          <w:lang w:val="en-US"/>
        </w:rPr>
        <w:t>NOTE</w:t>
      </w:r>
      <w:r>
        <w:rPr>
          <w:lang w:val="en-US"/>
        </w:rPr>
        <w:t xml:space="preserve">: </w:t>
      </w:r>
      <w:r w:rsidR="0031321F">
        <w:rPr>
          <w:lang w:val="en-US"/>
        </w:rPr>
        <w:t>Any</w:t>
      </w:r>
      <w:r w:rsidR="0031321F" w:rsidRPr="009F3769">
        <w:t xml:space="preserve"> </w:t>
      </w:r>
      <w:r w:rsidRPr="009F3769">
        <w:t xml:space="preserve">change to the original bid opening date will require republication of the invitation for bids at least once in a locally published newspaper. The republished notice will include the place, time and date for the new bid opening and must be </w:t>
      </w:r>
      <w:r w:rsidRPr="000F70A2">
        <w:t>published at least seven</w:t>
      </w:r>
      <w:r w:rsidR="00526DFF">
        <w:t xml:space="preserve"> (7)</w:t>
      </w:r>
      <w:r w:rsidRPr="000F70A2">
        <w:t xml:space="preserve"> days prior to the new bid opening date. </w:t>
      </w:r>
      <w:r w:rsidRPr="000F70A2">
        <w:rPr>
          <w:lang w:val="en-US"/>
        </w:rPr>
        <w:t xml:space="preserve">If the revised bid opening date is more than </w:t>
      </w:r>
      <w:r w:rsidR="00B0653A" w:rsidRPr="000F70A2">
        <w:rPr>
          <w:lang w:val="en-US"/>
        </w:rPr>
        <w:t xml:space="preserve">fifteen (15) </w:t>
      </w:r>
      <w:r w:rsidRPr="000F70A2">
        <w:rPr>
          <w:lang w:val="en-US"/>
        </w:rPr>
        <w:t xml:space="preserve">days </w:t>
      </w:r>
      <w:r>
        <w:rPr>
          <w:lang w:val="en-US"/>
        </w:rPr>
        <w:t>after the originally published date, all required publications must be repeated.</w:t>
      </w:r>
    </w:p>
    <w:p w14:paraId="405FB3BA" w14:textId="77777777" w:rsidR="000C6B4E" w:rsidRPr="009F3769" w:rsidRDefault="000C6B4E" w:rsidP="001052AC">
      <w:pPr>
        <w:pStyle w:val="ACDBGBODYArial11"/>
        <w:spacing w:line="240" w:lineRule="auto"/>
      </w:pPr>
    </w:p>
    <w:p w14:paraId="41CBC529" w14:textId="26FD53FE" w:rsidR="004166B2" w:rsidRDefault="000C6B4E" w:rsidP="001052AC">
      <w:pPr>
        <w:pStyle w:val="ACDBGBODYArial11"/>
        <w:spacing w:line="240" w:lineRule="auto"/>
        <w:rPr>
          <w:lang w:val="en-US"/>
        </w:rPr>
      </w:pPr>
      <w:r w:rsidRPr="009F3769">
        <w:t>Costs associated with advertising may be eligible TxCDBG costs.</w:t>
      </w:r>
      <w:r>
        <w:rPr>
          <w:lang w:val="en-US"/>
        </w:rPr>
        <w:t xml:space="preserve"> </w:t>
      </w:r>
      <w:r w:rsidRPr="009F3769">
        <w:t xml:space="preserve">However, these costs can only be </w:t>
      </w:r>
      <w:r>
        <w:rPr>
          <w:lang w:val="en-US"/>
        </w:rPr>
        <w:t>reimbursed (or claimed as matching funds)</w:t>
      </w:r>
      <w:r w:rsidRPr="009F3769">
        <w:t xml:space="preserve"> from the </w:t>
      </w:r>
      <w:r w:rsidR="00004A6A">
        <w:t>administration</w:t>
      </w:r>
      <w:r w:rsidRPr="009F3769">
        <w:t xml:space="preserve"> activity, regardless of purpose</w:t>
      </w:r>
      <w:r>
        <w:rPr>
          <w:lang w:val="en-US"/>
        </w:rPr>
        <w:t xml:space="preserve">. </w:t>
      </w:r>
    </w:p>
    <w:p w14:paraId="066BFDE1" w14:textId="77777777" w:rsidR="003D0E80" w:rsidRDefault="003D0E80" w:rsidP="001052AC">
      <w:pPr>
        <w:pStyle w:val="ACDBGBODYArial11"/>
        <w:spacing w:line="240" w:lineRule="auto"/>
        <w:rPr>
          <w:lang w:val="en-US"/>
        </w:rPr>
      </w:pPr>
    </w:p>
    <w:p w14:paraId="327EB792" w14:textId="5F8BEC06" w:rsidR="000C6B4E" w:rsidRPr="00EA6DB0" w:rsidRDefault="000C6B4E" w:rsidP="001052AC">
      <w:pPr>
        <w:pStyle w:val="ACDBGBODYArial11"/>
        <w:spacing w:line="240" w:lineRule="auto"/>
      </w:pPr>
      <w:r w:rsidRPr="00EA6DB0">
        <w:rPr>
          <w:b/>
          <w:bCs/>
          <w:lang w:val="en-US"/>
        </w:rPr>
        <w:t>EXAMPLE:</w:t>
      </w:r>
      <w:r>
        <w:rPr>
          <w:lang w:val="en-US"/>
        </w:rPr>
        <w:t xml:space="preserve"> The cost of construction advertisements may be eligible as an </w:t>
      </w:r>
      <w:r w:rsidR="00004A6A">
        <w:rPr>
          <w:lang w:val="en-US"/>
        </w:rPr>
        <w:t>administration</w:t>
      </w:r>
      <w:r>
        <w:rPr>
          <w:lang w:val="en-US"/>
        </w:rPr>
        <w:t xml:space="preserve"> expense only. </w:t>
      </w:r>
      <w:r w:rsidRPr="009F3769">
        <w:t xml:space="preserve"> </w:t>
      </w:r>
    </w:p>
    <w:p w14:paraId="42551D14" w14:textId="77777777" w:rsidR="000C6B4E" w:rsidRPr="009F3769" w:rsidRDefault="000C6B4E" w:rsidP="001052AC">
      <w:pPr>
        <w:pStyle w:val="ACDBGBODYArial11"/>
        <w:spacing w:line="240" w:lineRule="auto"/>
      </w:pPr>
    </w:p>
    <w:p w14:paraId="56495537" w14:textId="77777777" w:rsidR="000C6B4E" w:rsidRDefault="000C6B4E" w:rsidP="001052AC">
      <w:pPr>
        <w:pStyle w:val="ACDBGBODYArial11"/>
        <w:spacing w:line="240" w:lineRule="auto"/>
        <w:rPr>
          <w:spacing w:val="1"/>
        </w:rPr>
      </w:pPr>
      <w:r w:rsidRPr="003B4274">
        <w:rPr>
          <w:spacing w:val="1"/>
        </w:rPr>
        <w:t>Retain a tear sheet/full-page advertisement/photo copy with publisher’s identification and date/publisher’s affidavit for proof of advertising for monitoring purposes.</w:t>
      </w:r>
    </w:p>
    <w:p w14:paraId="0904E44A" w14:textId="77777777" w:rsidR="00323836" w:rsidRDefault="00323836" w:rsidP="001052AC">
      <w:pPr>
        <w:pStyle w:val="1BODY-Arial11"/>
        <w:spacing w:line="240" w:lineRule="auto"/>
      </w:pPr>
    </w:p>
    <w:p w14:paraId="4FF93B3B" w14:textId="020F0429" w:rsidR="004166B2" w:rsidRDefault="004166B2" w:rsidP="001052AC">
      <w:pPr>
        <w:pStyle w:val="1BODY-Arial11"/>
        <w:spacing w:line="240" w:lineRule="auto"/>
      </w:pPr>
      <w:r>
        <w:t xml:space="preserve">Update the MSR </w:t>
      </w:r>
      <w:r w:rsidR="00323836">
        <w:t>with proof of advertising</w:t>
      </w:r>
      <w:r>
        <w:t xml:space="preserve">. Detailed step-by-step instructions for completing and submitting an MSR in TDA-GO may be found on the TDA website. </w:t>
      </w:r>
    </w:p>
    <w:p w14:paraId="433C5B40" w14:textId="77777777" w:rsidR="000C6B4E" w:rsidRPr="00DB36B8" w:rsidRDefault="000C6B4E" w:rsidP="001052AC">
      <w:pPr>
        <w:pStyle w:val="ACDBGBODYArial11"/>
        <w:spacing w:line="240" w:lineRule="auto"/>
        <w:rPr>
          <w:lang w:val="en-US"/>
        </w:rPr>
      </w:pPr>
    </w:p>
    <w:p w14:paraId="7D859045" w14:textId="77777777" w:rsidR="000C6B4E" w:rsidRPr="00057E28" w:rsidRDefault="000C6B4E" w:rsidP="009333F8">
      <w:pPr>
        <w:tabs>
          <w:tab w:val="left" w:pos="1800"/>
        </w:tabs>
        <w:rPr>
          <w:rFonts w:cs="Arial"/>
          <w:b/>
          <w:bCs/>
          <w:spacing w:val="-6"/>
          <w:szCs w:val="22"/>
        </w:rPr>
      </w:pPr>
      <w:r w:rsidRPr="00057E28">
        <w:rPr>
          <w:rFonts w:cs="Arial"/>
          <w:b/>
          <w:bCs/>
          <w:spacing w:val="-6"/>
          <w:szCs w:val="22"/>
        </w:rPr>
        <w:t>Step 4. Promote Participation of Minority-Owned Businesses and Section 3 Business Concerns</w:t>
      </w:r>
    </w:p>
    <w:p w14:paraId="102F88E0" w14:textId="77777777" w:rsidR="007D40F4" w:rsidRPr="00057E28" w:rsidRDefault="007D40F4" w:rsidP="007D40F4">
      <w:pPr>
        <w:pStyle w:val="ACDBGBODYArial11"/>
        <w:spacing w:line="240" w:lineRule="auto"/>
        <w:rPr>
          <w:lang w:val="en-US"/>
        </w:rPr>
      </w:pPr>
      <w:r w:rsidRPr="00057E28">
        <w:rPr>
          <w:lang w:val="en-US"/>
        </w:rPr>
        <w:t>In addition to the required advertisements, the Grant Recipient must facilitate contracting opportunities for Section 3 businesses, as well as minority-owned businesses and women-owned businesses by reporting the contracting opportunity to the following resources no later than the date of the first advertisement:</w:t>
      </w:r>
    </w:p>
    <w:p w14:paraId="496C4715" w14:textId="65EABAAF" w:rsidR="007D40F4" w:rsidRPr="00057E28" w:rsidRDefault="007D40F4" w:rsidP="005F4682">
      <w:pPr>
        <w:pStyle w:val="ACDBGBODYArial11"/>
        <w:numPr>
          <w:ilvl w:val="0"/>
          <w:numId w:val="37"/>
        </w:numPr>
        <w:spacing w:line="240" w:lineRule="auto"/>
        <w:rPr>
          <w:lang w:val="en-US"/>
        </w:rPr>
      </w:pPr>
      <w:r w:rsidRPr="00057E28">
        <w:rPr>
          <w:bCs/>
          <w:lang w:val="en-US"/>
        </w:rPr>
        <w:t>A</w:t>
      </w:r>
      <w:r w:rsidRPr="00057E28">
        <w:rPr>
          <w:bCs/>
        </w:rPr>
        <w:t>t least one organization providing access to and assistance with bid opportunities, particularly those that recognize small and disadvantaged businesses that are likely to include Section 3 Businesses</w:t>
      </w:r>
      <w:r w:rsidR="00A02E6A" w:rsidRPr="00057E28">
        <w:rPr>
          <w:bCs/>
          <w:lang w:val="en-US"/>
        </w:rPr>
        <w:t>. Retain screenshots or other confirmation to document compliance with this requirement.  Examples of acceptable organizations include</w:t>
      </w:r>
      <w:r w:rsidRPr="00057E28">
        <w:rPr>
          <w:bCs/>
        </w:rPr>
        <w:t>:</w:t>
      </w:r>
    </w:p>
    <w:p w14:paraId="59EFD3AF" w14:textId="77777777" w:rsidR="007D40F4" w:rsidRPr="00057E28" w:rsidRDefault="007D40F4" w:rsidP="005F4682">
      <w:pPr>
        <w:pStyle w:val="Default"/>
        <w:numPr>
          <w:ilvl w:val="2"/>
          <w:numId w:val="37"/>
        </w:numPr>
        <w:ind w:left="1440"/>
        <w:rPr>
          <w:color w:val="auto"/>
          <w:sz w:val="22"/>
          <w:szCs w:val="22"/>
        </w:rPr>
      </w:pPr>
      <w:r w:rsidRPr="00057E28">
        <w:rPr>
          <w:color w:val="auto"/>
          <w:sz w:val="22"/>
          <w:szCs w:val="22"/>
        </w:rPr>
        <w:t xml:space="preserve">Public/non-profit </w:t>
      </w:r>
      <w:proofErr w:type="gramStart"/>
      <w:r w:rsidRPr="00057E28">
        <w:rPr>
          <w:color w:val="auto"/>
          <w:sz w:val="22"/>
          <w:szCs w:val="22"/>
        </w:rPr>
        <w:t>organizations;</w:t>
      </w:r>
      <w:proofErr w:type="gramEnd"/>
      <w:r w:rsidRPr="00057E28">
        <w:rPr>
          <w:color w:val="auto"/>
          <w:sz w:val="22"/>
          <w:szCs w:val="22"/>
        </w:rPr>
        <w:t xml:space="preserve"> </w:t>
      </w:r>
    </w:p>
    <w:p w14:paraId="6098BF5B" w14:textId="77777777" w:rsidR="007D40F4" w:rsidRPr="00057E28" w:rsidRDefault="007D40F4" w:rsidP="005F4682">
      <w:pPr>
        <w:pStyle w:val="Default"/>
        <w:numPr>
          <w:ilvl w:val="2"/>
          <w:numId w:val="37"/>
        </w:numPr>
        <w:ind w:left="1440"/>
        <w:rPr>
          <w:color w:val="auto"/>
          <w:sz w:val="22"/>
          <w:szCs w:val="22"/>
        </w:rPr>
      </w:pPr>
      <w:r w:rsidRPr="00057E28">
        <w:rPr>
          <w:color w:val="auto"/>
          <w:sz w:val="22"/>
          <w:szCs w:val="22"/>
        </w:rPr>
        <w:t>Private plan rooms; or</w:t>
      </w:r>
    </w:p>
    <w:p w14:paraId="5EF1FDA5" w14:textId="77777777" w:rsidR="007D40F4" w:rsidRPr="00057E28" w:rsidRDefault="007D40F4" w:rsidP="005F4682">
      <w:pPr>
        <w:pStyle w:val="Default"/>
        <w:numPr>
          <w:ilvl w:val="2"/>
          <w:numId w:val="37"/>
        </w:numPr>
        <w:ind w:left="1440"/>
        <w:rPr>
          <w:bCs/>
          <w:color w:val="auto"/>
          <w:sz w:val="22"/>
          <w:szCs w:val="22"/>
        </w:rPr>
      </w:pPr>
      <w:r w:rsidRPr="00057E28">
        <w:rPr>
          <w:bCs/>
          <w:color w:val="auto"/>
          <w:sz w:val="22"/>
          <w:szCs w:val="22"/>
        </w:rPr>
        <w:t xml:space="preserve">Local Workforce Solutions Offices (WIOA One Stop Shop), if applicable, see </w:t>
      </w:r>
      <w:hyperlink r:id="rId16" w:history="1">
        <w:r w:rsidRPr="00057E28">
          <w:rPr>
            <w:rStyle w:val="Hyperlink"/>
            <w:bCs/>
            <w:color w:val="auto"/>
            <w:sz w:val="22"/>
            <w:szCs w:val="22"/>
          </w:rPr>
          <w:t>https://www.twc.texas.gov/directory-workforce-solutions-offices-services</w:t>
        </w:r>
      </w:hyperlink>
      <w:r w:rsidRPr="00057E28">
        <w:rPr>
          <w:bCs/>
          <w:color w:val="auto"/>
          <w:sz w:val="22"/>
          <w:szCs w:val="22"/>
        </w:rPr>
        <w:t>.</w:t>
      </w:r>
    </w:p>
    <w:p w14:paraId="49186E5B" w14:textId="1F7E60CE" w:rsidR="007D40F4" w:rsidRPr="008F7212" w:rsidRDefault="007D40F4" w:rsidP="005F4682">
      <w:pPr>
        <w:pStyle w:val="Default"/>
        <w:numPr>
          <w:ilvl w:val="0"/>
          <w:numId w:val="37"/>
        </w:numPr>
        <w:rPr>
          <w:bCs/>
          <w:color w:val="538135" w:themeColor="accent6" w:themeShade="BF"/>
          <w:sz w:val="22"/>
          <w:szCs w:val="22"/>
        </w:rPr>
      </w:pPr>
      <w:r w:rsidRPr="00057E28">
        <w:rPr>
          <w:bCs/>
          <w:color w:val="auto"/>
          <w:sz w:val="22"/>
          <w:szCs w:val="22"/>
        </w:rPr>
        <w:t>TDA-GO Materials and Services Record Pre-Selection Clearance data including bid opening date – this data is made available to the public during the bid period</w:t>
      </w:r>
      <w:r w:rsidRPr="008F7212">
        <w:rPr>
          <w:bCs/>
          <w:color w:val="538135" w:themeColor="accent6" w:themeShade="BF"/>
          <w:sz w:val="22"/>
          <w:szCs w:val="22"/>
        </w:rPr>
        <w:t>.</w:t>
      </w:r>
    </w:p>
    <w:p w14:paraId="049C78E3" w14:textId="77777777" w:rsidR="007D40F4" w:rsidRPr="008F7212" w:rsidRDefault="007D40F4" w:rsidP="007D40F4">
      <w:pPr>
        <w:pStyle w:val="ACDBGBODYArial11"/>
        <w:spacing w:line="240" w:lineRule="auto"/>
        <w:rPr>
          <w:color w:val="538135" w:themeColor="accent6" w:themeShade="BF"/>
          <w:lang w:val="en-US"/>
        </w:rPr>
      </w:pPr>
    </w:p>
    <w:p w14:paraId="07FCA819" w14:textId="23404A6F" w:rsidR="000C6B4E" w:rsidRPr="00EA6DB0" w:rsidRDefault="000C6B4E" w:rsidP="001052AC">
      <w:pPr>
        <w:pStyle w:val="ACDBGBODYArial11"/>
        <w:spacing w:line="240" w:lineRule="auto"/>
        <w:rPr>
          <w:b/>
          <w:spacing w:val="2"/>
          <w:u w:val="single"/>
          <w:lang w:val="en-US"/>
        </w:rPr>
      </w:pPr>
      <w:r w:rsidRPr="00725FE3">
        <w:rPr>
          <w:spacing w:val="2"/>
        </w:rPr>
        <w:t xml:space="preserve">The Grant Recipient should actively take steps to encourage proposals from </w:t>
      </w:r>
      <w:r>
        <w:rPr>
          <w:spacing w:val="2"/>
          <w:lang w:val="en-US"/>
        </w:rPr>
        <w:t>SBEs, MBEs, and WBEs</w:t>
      </w:r>
      <w:r w:rsidRPr="00725FE3">
        <w:rPr>
          <w:spacing w:val="2"/>
        </w:rPr>
        <w:t>, as well as Section 3 business concerns</w:t>
      </w:r>
      <w:r w:rsidR="00323836">
        <w:rPr>
          <w:spacing w:val="2"/>
          <w:lang w:val="en-US"/>
        </w:rPr>
        <w:t>, s</w:t>
      </w:r>
      <w:r>
        <w:rPr>
          <w:spacing w:val="2"/>
          <w:lang w:val="en-US"/>
        </w:rPr>
        <w:t xml:space="preserve">ee </w:t>
      </w:r>
      <w:r w:rsidRPr="00EA6DB0">
        <w:rPr>
          <w:i/>
          <w:iCs/>
          <w:spacing w:val="2"/>
          <w:lang w:val="en-US"/>
        </w:rPr>
        <w:t>Chapter 10</w:t>
      </w:r>
      <w:r w:rsidR="00693499">
        <w:rPr>
          <w:spacing w:val="2"/>
          <w:lang w:val="en-US"/>
        </w:rPr>
        <w:t xml:space="preserve"> </w:t>
      </w:r>
      <w:r w:rsidR="00323836">
        <w:rPr>
          <w:spacing w:val="2"/>
          <w:lang w:val="en-US"/>
        </w:rPr>
        <w:t>Civil Rights.</w:t>
      </w:r>
    </w:p>
    <w:p w14:paraId="6961709E" w14:textId="77777777" w:rsidR="007D40F4" w:rsidRPr="00153ED8" w:rsidRDefault="007D40F4" w:rsidP="001052AC"/>
    <w:p w14:paraId="05391F98" w14:textId="77777777" w:rsidR="000C6B4E" w:rsidRPr="009F3769" w:rsidRDefault="000C6B4E" w:rsidP="009333F8">
      <w:pPr>
        <w:pStyle w:val="Arial11BOLD"/>
      </w:pPr>
      <w:r>
        <w:t>Step</w:t>
      </w:r>
      <w:r w:rsidRPr="009F3769">
        <w:t xml:space="preserve"> 5</w:t>
      </w:r>
      <w:r>
        <w:t xml:space="preserve">. </w:t>
      </w:r>
      <w:r w:rsidRPr="009F3769">
        <w:t>Hold the Bid Opening</w:t>
      </w:r>
    </w:p>
    <w:p w14:paraId="7B7DADF5" w14:textId="77777777" w:rsidR="000C6B4E" w:rsidRPr="009F3769" w:rsidRDefault="000C6B4E" w:rsidP="005F4682">
      <w:pPr>
        <w:pStyle w:val="BULLETS"/>
        <w:numPr>
          <w:ilvl w:val="0"/>
          <w:numId w:val="21"/>
        </w:numPr>
        <w:spacing w:line="240" w:lineRule="auto"/>
        <w:jc w:val="both"/>
      </w:pPr>
      <w:r w:rsidRPr="009F3769">
        <w:t>Note the date and time of receipt of each bid on the bid envelope, which must be kept with the original bid even following the bid opening</w:t>
      </w:r>
      <w:r>
        <w:t>.</w:t>
      </w:r>
    </w:p>
    <w:p w14:paraId="1F87997E" w14:textId="77777777" w:rsidR="000C6B4E" w:rsidRPr="009F3769" w:rsidRDefault="000C6B4E" w:rsidP="005F4682">
      <w:pPr>
        <w:pStyle w:val="BULLETS"/>
        <w:numPr>
          <w:ilvl w:val="0"/>
          <w:numId w:val="21"/>
        </w:numPr>
        <w:spacing w:line="240" w:lineRule="auto"/>
        <w:jc w:val="both"/>
      </w:pPr>
      <w:r w:rsidRPr="009F3769">
        <w:t>Open and read aloud each bid</w:t>
      </w:r>
      <w:r>
        <w:t>.</w:t>
      </w:r>
    </w:p>
    <w:p w14:paraId="301826F4" w14:textId="77777777" w:rsidR="000C6B4E" w:rsidRPr="00DF1BE7" w:rsidRDefault="000C6B4E" w:rsidP="005F4682">
      <w:pPr>
        <w:pStyle w:val="BULLETS"/>
        <w:numPr>
          <w:ilvl w:val="0"/>
          <w:numId w:val="21"/>
        </w:numPr>
        <w:spacing w:line="240" w:lineRule="auto"/>
        <w:jc w:val="both"/>
      </w:pPr>
      <w:r w:rsidRPr="00DF1BE7">
        <w:t>Record the base bid, along with any alternates, on a bid spreadsheet.</w:t>
      </w:r>
    </w:p>
    <w:p w14:paraId="299B309D" w14:textId="61D4EEBD" w:rsidR="000C6B4E" w:rsidRPr="009F3769" w:rsidRDefault="000C6B4E" w:rsidP="005F4682">
      <w:pPr>
        <w:pStyle w:val="BULLETS"/>
        <w:numPr>
          <w:ilvl w:val="0"/>
          <w:numId w:val="21"/>
        </w:numPr>
        <w:spacing w:line="240" w:lineRule="auto"/>
        <w:jc w:val="both"/>
      </w:pPr>
      <w:r w:rsidRPr="009F3769">
        <w:t>Announce the apparent low bidder and all bidders with complete packets.</w:t>
      </w:r>
    </w:p>
    <w:p w14:paraId="41A4C5EF" w14:textId="694E0F42" w:rsidR="000C6B4E" w:rsidRDefault="000C6B4E" w:rsidP="005F4682">
      <w:pPr>
        <w:pStyle w:val="BULLETS"/>
        <w:numPr>
          <w:ilvl w:val="0"/>
          <w:numId w:val="21"/>
        </w:numPr>
        <w:spacing w:line="240" w:lineRule="auto"/>
        <w:ind w:right="-162"/>
        <w:jc w:val="both"/>
      </w:pPr>
      <w:r w:rsidRPr="00EA6DB0">
        <w:rPr>
          <w:b/>
          <w:bCs/>
        </w:rPr>
        <w:t xml:space="preserve">Electronic </w:t>
      </w:r>
      <w:r>
        <w:rPr>
          <w:b/>
          <w:bCs/>
        </w:rPr>
        <w:t>B</w:t>
      </w:r>
      <w:r w:rsidRPr="00EA6DB0">
        <w:rPr>
          <w:b/>
          <w:bCs/>
        </w:rPr>
        <w:t>ids</w:t>
      </w:r>
      <w:r>
        <w:rPr>
          <w:b/>
          <w:bCs/>
        </w:rPr>
        <w:t xml:space="preserve"> – </w:t>
      </w:r>
      <w:r w:rsidRPr="00591F1A">
        <w:rPr>
          <w:spacing w:val="-2"/>
        </w:rPr>
        <w:t xml:space="preserve">The </w:t>
      </w:r>
      <w:r>
        <w:rPr>
          <w:spacing w:val="-2"/>
        </w:rPr>
        <w:t xml:space="preserve">Texas </w:t>
      </w:r>
      <w:r w:rsidRPr="00591F1A">
        <w:rPr>
          <w:spacing w:val="-2"/>
        </w:rPr>
        <w:t>Local Government Code permits counties and municipalities to accept bids through electronic transmission if the local governing body has adopted written rules and procedures to ensure the identification, security, and confidentiality of electronic bids.</w:t>
      </w:r>
      <w:r w:rsidR="00323836">
        <w:rPr>
          <w:rStyle w:val="FootnoteReference"/>
          <w:spacing w:val="-2"/>
        </w:rPr>
        <w:footnoteReference w:id="12"/>
      </w:r>
      <w:r w:rsidRPr="00591F1A">
        <w:rPr>
          <w:spacing w:val="-2"/>
        </w:rPr>
        <w:t xml:space="preserve"> </w:t>
      </w:r>
    </w:p>
    <w:p w14:paraId="694A45ED" w14:textId="77777777" w:rsidR="000C6B4E" w:rsidRDefault="000C6B4E" w:rsidP="00DF1BE7">
      <w:pPr>
        <w:pStyle w:val="BULLETS"/>
        <w:numPr>
          <w:ilvl w:val="0"/>
          <w:numId w:val="0"/>
        </w:numPr>
        <w:spacing w:line="240" w:lineRule="auto"/>
        <w:ind w:left="720" w:right="-162"/>
        <w:jc w:val="both"/>
      </w:pPr>
    </w:p>
    <w:p w14:paraId="616988B6" w14:textId="77777777" w:rsidR="000C6B4E" w:rsidRPr="009F3769" w:rsidRDefault="000C6B4E" w:rsidP="00DF1BE7">
      <w:pPr>
        <w:pStyle w:val="BULLETS"/>
        <w:numPr>
          <w:ilvl w:val="0"/>
          <w:numId w:val="0"/>
        </w:numPr>
        <w:spacing w:line="240" w:lineRule="auto"/>
        <w:ind w:left="360" w:right="-162"/>
        <w:jc w:val="both"/>
      </w:pPr>
      <w:r w:rsidRPr="009F3769">
        <w:t>The procedures must ensure that the electronic bids remain effectively unopened until the proper time to unseal bids. The Grant Recipient must maintain in its project procurement records copies of the written rules/procedures, local governing body minutes verifying adoption of the rules/procedures, documentation of any application software used to accept and administer the electronic bids</w:t>
      </w:r>
      <w:r>
        <w:t>—</w:t>
      </w:r>
      <w:r w:rsidRPr="009F3769">
        <w:t xml:space="preserve">and any other documentation deemed necessary to verify compliance with statutory or programmatic requirements.  </w:t>
      </w:r>
    </w:p>
    <w:p w14:paraId="28AE925F" w14:textId="77777777" w:rsidR="000C6B4E" w:rsidRDefault="000C6B4E" w:rsidP="009333F8">
      <w:pPr>
        <w:pStyle w:val="BodyText"/>
        <w:ind w:left="1080"/>
        <w:jc w:val="both"/>
        <w:rPr>
          <w:rFonts w:cs="Arial"/>
          <w:sz w:val="22"/>
          <w:szCs w:val="22"/>
        </w:rPr>
      </w:pPr>
    </w:p>
    <w:p w14:paraId="4C3221B3" w14:textId="77777777" w:rsidR="000C6B4E" w:rsidRPr="00FE6E46" w:rsidRDefault="000C6B4E" w:rsidP="009333F8">
      <w:pPr>
        <w:rPr>
          <w:b/>
          <w:bCs/>
        </w:rPr>
      </w:pPr>
      <w:r w:rsidRPr="00FE6E46">
        <w:rPr>
          <w:b/>
          <w:bCs/>
        </w:rPr>
        <w:t>Step 6. Evaluate and Select the Low Bidder</w:t>
      </w:r>
    </w:p>
    <w:p w14:paraId="325CFE3C" w14:textId="6AF5812E" w:rsidR="00470FF4" w:rsidRPr="00470FF4" w:rsidRDefault="00470FF4" w:rsidP="001052AC">
      <w:pPr>
        <w:pStyle w:val="ACDBGBODYArial11"/>
        <w:spacing w:line="240" w:lineRule="auto"/>
        <w:rPr>
          <w:sz w:val="28"/>
          <w:szCs w:val="28"/>
        </w:rPr>
      </w:pPr>
      <w:r w:rsidRPr="00470FF4">
        <w:t xml:space="preserve">Grant Recipients are responsible for ensuring that all applicable Federal and State procurement procedures, standards, and requirements are met. TDA recommends that the Grant </w:t>
      </w:r>
      <w:r w:rsidRPr="00470FF4">
        <w:rPr>
          <w:lang w:val="en-US"/>
        </w:rPr>
        <w:t>Recipient</w:t>
      </w:r>
      <w:r w:rsidRPr="00470FF4">
        <w:t>’s attorney review bid packets and contracts before execution in order to ensure that all federal and state</w:t>
      </w:r>
      <w:r w:rsidRPr="00470FF4">
        <w:rPr>
          <w:lang w:val="en-US"/>
        </w:rPr>
        <w:t xml:space="preserve"> </w:t>
      </w:r>
      <w:r w:rsidRPr="00470FF4">
        <w:t>TxCDBG requirements, local laws and requirements specific to that municipality or county are incorporated.</w:t>
      </w:r>
    </w:p>
    <w:p w14:paraId="709FC1D4" w14:textId="77777777" w:rsidR="00470FF4" w:rsidRDefault="00470FF4" w:rsidP="001052AC">
      <w:pPr>
        <w:pStyle w:val="ACDBGBODYArial11"/>
        <w:spacing w:line="240" w:lineRule="auto"/>
      </w:pPr>
    </w:p>
    <w:p w14:paraId="3A43AC0A" w14:textId="38ECD478" w:rsidR="000C6B4E" w:rsidRPr="00057E28" w:rsidRDefault="000C6B4E" w:rsidP="001052AC">
      <w:pPr>
        <w:pStyle w:val="ACDBGBODYArial11"/>
        <w:spacing w:line="240" w:lineRule="auto"/>
        <w:rPr>
          <w:lang w:val="en-US"/>
        </w:rPr>
      </w:pPr>
      <w:r w:rsidRPr="009F3769">
        <w:t>The Grant Recipient or its designee</w:t>
      </w:r>
      <w:r w:rsidR="00323836">
        <w:rPr>
          <w:lang w:val="en-US"/>
        </w:rPr>
        <w:t xml:space="preserve">, </w:t>
      </w:r>
      <w:r w:rsidRPr="009F3769">
        <w:t xml:space="preserve">usually the </w:t>
      </w:r>
      <w:r w:rsidR="00323836">
        <w:rPr>
          <w:lang w:val="en-US"/>
        </w:rPr>
        <w:t xml:space="preserve">project </w:t>
      </w:r>
      <w:r w:rsidRPr="009F3769">
        <w:t>engineer</w:t>
      </w:r>
      <w:r w:rsidR="00323836">
        <w:rPr>
          <w:lang w:val="en-US"/>
        </w:rPr>
        <w:t xml:space="preserve">, </w:t>
      </w:r>
      <w:r w:rsidRPr="009F3769">
        <w:t xml:space="preserve">should carefully review the bids submitted </w:t>
      </w:r>
      <w:r w:rsidRPr="00057E28">
        <w:t>and the low bidder’s statement of qualifications and references.</w:t>
      </w:r>
      <w:r w:rsidRPr="00057E28">
        <w:rPr>
          <w:lang w:val="en-US"/>
        </w:rPr>
        <w:t xml:space="preserve"> </w:t>
      </w:r>
      <w:r w:rsidRPr="00057E28">
        <w:t>Awarding the contract on the same date as the bid opening does not generally allow sufficient time to research and review the documents and ensure that the low bidder has provided all the required forms, bonds, certifications, as well as qualifications and references.</w:t>
      </w:r>
      <w:r w:rsidR="005C6648" w:rsidRPr="00057E28">
        <w:rPr>
          <w:rStyle w:val="FootnoteReference"/>
          <w:lang w:val="en-US"/>
        </w:rPr>
        <w:footnoteReference w:id="13"/>
      </w:r>
    </w:p>
    <w:p w14:paraId="5281C7FB" w14:textId="77777777" w:rsidR="00632346" w:rsidRPr="00057E28" w:rsidRDefault="000C6B4E" w:rsidP="005F4682">
      <w:pPr>
        <w:pStyle w:val="BULLETS"/>
        <w:numPr>
          <w:ilvl w:val="0"/>
          <w:numId w:val="20"/>
        </w:numPr>
        <w:spacing w:line="240" w:lineRule="auto"/>
      </w:pPr>
      <w:r w:rsidRPr="00057E28">
        <w:t xml:space="preserve">Municipalities are required by state law to award the contract to the lowest responsible bidder. </w:t>
      </w:r>
    </w:p>
    <w:p w14:paraId="77330DE6" w14:textId="497A3508" w:rsidR="00A667EC" w:rsidRPr="00057E28" w:rsidRDefault="00A667EC" w:rsidP="005F4682">
      <w:pPr>
        <w:pStyle w:val="BULLETS"/>
        <w:numPr>
          <w:ilvl w:val="0"/>
          <w:numId w:val="20"/>
        </w:numPr>
        <w:spacing w:line="240" w:lineRule="auto"/>
        <w:jc w:val="both"/>
      </w:pPr>
      <w:bookmarkStart w:id="38" w:name="_Hlk135214172"/>
      <w:r w:rsidRPr="00057E28">
        <w:t>A bid subject to either Texas Local Government Code §252.043(g) or §271.026 that has been opened, may NOT be changed for the purpose of correcting an error in the bid price.</w:t>
      </w:r>
      <w:r w:rsidRPr="00057E28">
        <w:rPr>
          <w:rStyle w:val="FootnoteReference"/>
        </w:rPr>
        <w:footnoteReference w:id="14"/>
      </w:r>
      <w:r w:rsidRPr="00057E28">
        <w:t xml:space="preserve"> </w:t>
      </w:r>
    </w:p>
    <w:p w14:paraId="7CA9297C" w14:textId="77777777" w:rsidR="00A667EC" w:rsidRPr="00057E28" w:rsidRDefault="00A667EC" w:rsidP="005F4682">
      <w:pPr>
        <w:pStyle w:val="BULLETS"/>
        <w:numPr>
          <w:ilvl w:val="0"/>
          <w:numId w:val="20"/>
        </w:numPr>
        <w:spacing w:line="240" w:lineRule="auto"/>
        <w:jc w:val="both"/>
      </w:pPr>
      <w:r w:rsidRPr="00057E28">
        <w:t>A bidder may withdraw a bid due to a material mistake in the bid.</w:t>
      </w:r>
      <w:r w:rsidRPr="00057E28">
        <w:rPr>
          <w:rStyle w:val="FootnoteReference"/>
        </w:rPr>
        <w:footnoteReference w:id="15"/>
      </w:r>
    </w:p>
    <w:p w14:paraId="00A980D9" w14:textId="77777777" w:rsidR="00A667EC" w:rsidRPr="00057E28" w:rsidRDefault="00A667EC" w:rsidP="005F4682">
      <w:pPr>
        <w:pStyle w:val="BULLETS"/>
        <w:numPr>
          <w:ilvl w:val="0"/>
          <w:numId w:val="20"/>
        </w:numPr>
        <w:spacing w:line="240" w:lineRule="auto"/>
        <w:jc w:val="both"/>
      </w:pPr>
      <w:r w:rsidRPr="00057E28">
        <w:t xml:space="preserve">A governmental entity is entitled to reject </w:t>
      </w:r>
      <w:proofErr w:type="gramStart"/>
      <w:r w:rsidRPr="00057E28">
        <w:t>any and all</w:t>
      </w:r>
      <w:proofErr w:type="gramEnd"/>
      <w:r w:rsidRPr="00057E28">
        <w:t xml:space="preserve"> bids.</w:t>
      </w:r>
      <w:r w:rsidRPr="00057E28">
        <w:rPr>
          <w:rStyle w:val="FootnoteReference"/>
        </w:rPr>
        <w:footnoteReference w:id="16"/>
      </w:r>
    </w:p>
    <w:bookmarkEnd w:id="38"/>
    <w:p w14:paraId="19F9D103" w14:textId="09566588" w:rsidR="000C6B4E" w:rsidRPr="00057E28" w:rsidRDefault="000C6B4E" w:rsidP="005F4682">
      <w:pPr>
        <w:pStyle w:val="BULLETS"/>
        <w:numPr>
          <w:ilvl w:val="0"/>
          <w:numId w:val="20"/>
        </w:numPr>
        <w:spacing w:line="240" w:lineRule="auto"/>
      </w:pPr>
      <w:r w:rsidRPr="00057E28">
        <w:rPr>
          <w:b/>
          <w:bCs/>
        </w:rPr>
        <w:t>Best value</w:t>
      </w:r>
      <w:r w:rsidRPr="00057E28">
        <w:t xml:space="preserve"> criteria may only be considered if identified in the bid packet. The municipality may reject </w:t>
      </w:r>
      <w:proofErr w:type="gramStart"/>
      <w:r w:rsidRPr="00057E28">
        <w:t>any and all</w:t>
      </w:r>
      <w:proofErr w:type="gramEnd"/>
      <w:r w:rsidRPr="00057E28">
        <w:t xml:space="preserve"> bids.</w:t>
      </w:r>
      <w:r w:rsidR="00323836" w:rsidRPr="00057E28">
        <w:rPr>
          <w:rStyle w:val="FootnoteReference"/>
        </w:rPr>
        <w:footnoteReference w:id="17"/>
      </w:r>
    </w:p>
    <w:p w14:paraId="1FD412D2" w14:textId="2ED15605" w:rsidR="000C6B4E" w:rsidRPr="00057E28" w:rsidRDefault="000C6B4E" w:rsidP="005F4682">
      <w:pPr>
        <w:pStyle w:val="BULLETS"/>
        <w:numPr>
          <w:ilvl w:val="0"/>
          <w:numId w:val="20"/>
        </w:numPr>
        <w:spacing w:line="240" w:lineRule="auto"/>
      </w:pPr>
      <w:r w:rsidRPr="00057E28">
        <w:t>Counties are required by state law to award the contract to the responsible bidder who submits the lowest and best bid or must reject all bids and publish a new notice.</w:t>
      </w:r>
      <w:r w:rsidR="00323836" w:rsidRPr="00057E28">
        <w:rPr>
          <w:rStyle w:val="FootnoteReference"/>
        </w:rPr>
        <w:footnoteReference w:id="18"/>
      </w:r>
      <w:r w:rsidRPr="00057E28">
        <w:t xml:space="preserve"> </w:t>
      </w:r>
    </w:p>
    <w:p w14:paraId="25E2B4A5" w14:textId="77777777" w:rsidR="000C6B4E" w:rsidRPr="00057E28" w:rsidRDefault="000C6B4E" w:rsidP="00B16DFB"/>
    <w:p w14:paraId="0538D3D2" w14:textId="77777777" w:rsidR="000C6B4E" w:rsidRPr="00057E28" w:rsidRDefault="000C6B4E" w:rsidP="00632346">
      <w:pPr>
        <w:pStyle w:val="ACDBGBODYArial11"/>
        <w:spacing w:line="240" w:lineRule="auto"/>
        <w:ind w:right="-432"/>
        <w:rPr>
          <w:spacing w:val="-1"/>
        </w:rPr>
      </w:pPr>
      <w:r w:rsidRPr="00057E28">
        <w:rPr>
          <w:spacing w:val="-1"/>
        </w:rPr>
        <w:t>If the bids received exceed the designated budget, the Grant Recipient has the following options:</w:t>
      </w:r>
    </w:p>
    <w:p w14:paraId="7022C367" w14:textId="77777777" w:rsidR="000C6B4E" w:rsidRPr="00057E28" w:rsidRDefault="000C6B4E" w:rsidP="005F4682">
      <w:pPr>
        <w:pStyle w:val="BULLETS"/>
        <w:numPr>
          <w:ilvl w:val="0"/>
          <w:numId w:val="19"/>
        </w:numPr>
        <w:spacing w:line="240" w:lineRule="auto"/>
      </w:pPr>
      <w:r w:rsidRPr="00057E28">
        <w:t>Reject all bids and re-bid the project.</w:t>
      </w:r>
    </w:p>
    <w:p w14:paraId="00AF3564" w14:textId="77777777" w:rsidR="000C6B4E" w:rsidRPr="00057E28" w:rsidRDefault="000C6B4E" w:rsidP="005F4682">
      <w:pPr>
        <w:pStyle w:val="BULLETS"/>
        <w:numPr>
          <w:ilvl w:val="0"/>
          <w:numId w:val="19"/>
        </w:numPr>
        <w:spacing w:line="240" w:lineRule="auto"/>
      </w:pPr>
      <w:r w:rsidRPr="00057E28">
        <w:t>Accept the deductive alternates in the bid packet, if applicable.</w:t>
      </w:r>
    </w:p>
    <w:p w14:paraId="5C9FF141" w14:textId="77777777" w:rsidR="000C6B4E" w:rsidRPr="00057E28" w:rsidRDefault="000C6B4E" w:rsidP="005F4682">
      <w:pPr>
        <w:pStyle w:val="BULLETS"/>
        <w:numPr>
          <w:ilvl w:val="0"/>
          <w:numId w:val="19"/>
        </w:numPr>
        <w:spacing w:line="240" w:lineRule="auto"/>
      </w:pPr>
      <w:r w:rsidRPr="00057E28">
        <w:t>Accept the low bid and provide additional local funds.</w:t>
      </w:r>
    </w:p>
    <w:p w14:paraId="78FB3112" w14:textId="736C2735" w:rsidR="00632346" w:rsidRPr="00057E28" w:rsidRDefault="00632346" w:rsidP="005F4682">
      <w:pPr>
        <w:pStyle w:val="BULLETS"/>
        <w:numPr>
          <w:ilvl w:val="0"/>
          <w:numId w:val="19"/>
        </w:numPr>
        <w:spacing w:line="240" w:lineRule="auto"/>
      </w:pPr>
      <w:r w:rsidRPr="00057E28">
        <w:t xml:space="preserve">Accept the low bid and execute the construction contract for the full amount; identify </w:t>
      </w:r>
      <w:r w:rsidR="00C72AAB" w:rsidRPr="00057E28">
        <w:t xml:space="preserve">for the future any </w:t>
      </w:r>
      <w:r w:rsidRPr="00057E28">
        <w:t>work that may be eliminated from the executed contract through change order, if the contractor agrees to the reduction.</w:t>
      </w:r>
    </w:p>
    <w:p w14:paraId="69893B6C" w14:textId="77777777" w:rsidR="000C6B4E" w:rsidRPr="00E45B41" w:rsidRDefault="000C6B4E" w:rsidP="00B16DFB"/>
    <w:p w14:paraId="50B98D0D" w14:textId="77777777" w:rsidR="000C6B4E" w:rsidRPr="00526B6F" w:rsidRDefault="000C6B4E" w:rsidP="001052AC">
      <w:pPr>
        <w:pStyle w:val="ACDBGBODYArial11"/>
        <w:spacing w:line="240" w:lineRule="auto"/>
      </w:pPr>
      <w:r w:rsidRPr="00E45B41">
        <w:t xml:space="preserve">If all bids received exceed the amount of the construction budget, </w:t>
      </w:r>
      <w:r>
        <w:rPr>
          <w:b/>
          <w:bCs/>
        </w:rPr>
        <w:t>THE GRANT RECIPIENT</w:t>
      </w:r>
      <w:r w:rsidRPr="00E45B41">
        <w:rPr>
          <w:b/>
          <w:bCs/>
        </w:rPr>
        <w:t xml:space="preserve"> MAY NOT NEGOTIATE THE CONTRACT PRICE SOLELY WITH THE LOW BIDDER</w:t>
      </w:r>
      <w:r w:rsidRPr="00E45B41">
        <w:t>.</w:t>
      </w:r>
      <w:r>
        <w:rPr>
          <w:lang w:val="en-US"/>
        </w:rPr>
        <w:t xml:space="preserve"> </w:t>
      </w:r>
      <w:r w:rsidRPr="00E45B41">
        <w:t>To allow one bidder to negotiate the contract price is not fair to the other contractors who submit bids.</w:t>
      </w:r>
      <w:r>
        <w:t xml:space="preserve"> </w:t>
      </w:r>
      <w:r w:rsidRPr="006B3776">
        <w:rPr>
          <w:b/>
          <w:bCs/>
        </w:rPr>
        <w:t>NEGOTIATION OF THE CONTRACT PRICE SOLELY WITH THE LOW BIDDER WILL RESULT IN THE DISALLOWANCE OF TxCDBG FUNDS FOR CONSTRUCTION COSTS</w:t>
      </w:r>
      <w:r>
        <w:rPr>
          <w:bCs/>
        </w:rPr>
        <w:t>.</w:t>
      </w:r>
    </w:p>
    <w:p w14:paraId="79651E5C" w14:textId="1D777A38" w:rsidR="000C6B4E" w:rsidRPr="00057E28" w:rsidRDefault="000C6B4E" w:rsidP="001052AC"/>
    <w:p w14:paraId="46722BE2" w14:textId="5907A129" w:rsidR="00E24DBB" w:rsidRPr="00057E28" w:rsidRDefault="00E24DBB" w:rsidP="00E24DBB">
      <w:pPr>
        <w:pStyle w:val="ACDBGBODYArial11"/>
        <w:spacing w:line="240" w:lineRule="auto"/>
        <w:rPr>
          <w:lang w:val="en-US"/>
        </w:rPr>
      </w:pPr>
      <w:r w:rsidRPr="00057E28">
        <w:rPr>
          <w:lang w:val="en-US"/>
        </w:rPr>
        <w:t xml:space="preserve">The Grant Recipient must retain </w:t>
      </w:r>
      <w:r w:rsidRPr="00057E28">
        <w:rPr>
          <w:b/>
          <w:bCs/>
          <w:lang w:val="en-US"/>
        </w:rPr>
        <w:t>all</w:t>
      </w:r>
      <w:r w:rsidRPr="00057E28">
        <w:rPr>
          <w:lang w:val="en-US"/>
        </w:rPr>
        <w:t xml:space="preserve"> supporting documentation for every action taken in the procurement process, including established procurement policies, publications, all bid documentation submitted, calculations and recommendations regarding technical and/or material deficiencies, and award documentation. In limited circumstances, TDA may also request an opinion from the local legal counsel to document how the procurement complies with all Texas Local Government </w:t>
      </w:r>
      <w:r w:rsidR="001E165E" w:rsidRPr="00057E28">
        <w:rPr>
          <w:lang w:val="en-US"/>
        </w:rPr>
        <w:t xml:space="preserve">Code provisions </w:t>
      </w:r>
      <w:r w:rsidRPr="00057E28">
        <w:rPr>
          <w:lang w:val="en-US"/>
        </w:rPr>
        <w:t xml:space="preserve">and other </w:t>
      </w:r>
      <w:proofErr w:type="gramStart"/>
      <w:r w:rsidRPr="00057E28">
        <w:rPr>
          <w:lang w:val="en-US"/>
        </w:rPr>
        <w:t>applicable</w:t>
      </w:r>
      <w:r w:rsidR="001E165E" w:rsidRPr="00057E28">
        <w:rPr>
          <w:lang w:val="en-US"/>
        </w:rPr>
        <w:t>,</w:t>
      </w:r>
      <w:proofErr w:type="gramEnd"/>
      <w:r w:rsidR="001E165E" w:rsidRPr="00057E28">
        <w:rPr>
          <w:lang w:val="en-US"/>
        </w:rPr>
        <w:t xml:space="preserve"> laws,</w:t>
      </w:r>
      <w:r w:rsidRPr="00057E28">
        <w:rPr>
          <w:lang w:val="en-US"/>
        </w:rPr>
        <w:t xml:space="preserve"> rules</w:t>
      </w:r>
      <w:r w:rsidR="001E165E" w:rsidRPr="00057E28">
        <w:rPr>
          <w:lang w:val="en-US"/>
        </w:rPr>
        <w:t>,</w:t>
      </w:r>
      <w:r w:rsidRPr="00057E28">
        <w:rPr>
          <w:lang w:val="en-US"/>
        </w:rPr>
        <w:t xml:space="preserve"> and regulations.</w:t>
      </w:r>
    </w:p>
    <w:p w14:paraId="1AF2A7C2" w14:textId="77777777" w:rsidR="00E24DBB" w:rsidRDefault="00E24DBB" w:rsidP="001052AC"/>
    <w:p w14:paraId="3FC42C43" w14:textId="77777777" w:rsidR="00947B9E" w:rsidRPr="005C2432" w:rsidRDefault="00947B9E" w:rsidP="001052AC">
      <w:pPr>
        <w:pStyle w:val="ACDBGBODYArial11"/>
        <w:spacing w:line="240" w:lineRule="auto"/>
        <w:rPr>
          <w:lang w:val="en-US"/>
        </w:rPr>
      </w:pPr>
      <w:r>
        <w:rPr>
          <w:lang w:val="en-US"/>
        </w:rPr>
        <w:t xml:space="preserve">After completing the steps listed in this section, the Grant Recipient must complete the steps listed in </w:t>
      </w:r>
      <w:r w:rsidRPr="0090789D">
        <w:rPr>
          <w:i/>
          <w:iCs/>
          <w:lang w:val="en-US"/>
        </w:rPr>
        <w:t>Section 5.5 Steps for Award and Contracting</w:t>
      </w:r>
      <w:r>
        <w:rPr>
          <w:lang w:val="en-US"/>
        </w:rPr>
        <w:t>.</w:t>
      </w:r>
    </w:p>
    <w:p w14:paraId="374AAC2E" w14:textId="59B26DD2" w:rsidR="000C6B4E" w:rsidRDefault="000C6B4E" w:rsidP="009333F8">
      <w:pPr>
        <w:pStyle w:val="ACDBGBODYArial11"/>
        <w:spacing w:line="240" w:lineRule="auto"/>
      </w:pPr>
    </w:p>
    <w:p w14:paraId="46BC24D2" w14:textId="77777777" w:rsidR="000C6B4E" w:rsidRDefault="000C6B4E" w:rsidP="009333F8">
      <w:pPr>
        <w:pStyle w:val="Heading2"/>
      </w:pPr>
      <w:bookmarkStart w:id="39" w:name="_Toc123110904"/>
      <w:bookmarkStart w:id="40" w:name="_Toc171786602"/>
      <w:bookmarkStart w:id="41" w:name="_Toc171786700"/>
      <w:r w:rsidRPr="00B2783A">
        <w:t>5.3.3 Sealed Bid Procurement – Third Party Cooperative Purchase</w:t>
      </w:r>
      <w:bookmarkEnd w:id="39"/>
      <w:bookmarkEnd w:id="40"/>
      <w:bookmarkEnd w:id="41"/>
    </w:p>
    <w:p w14:paraId="3ADD6A66" w14:textId="77777777" w:rsidR="000C6B4E" w:rsidRDefault="000C6B4E" w:rsidP="009333F8">
      <w:pPr>
        <w:rPr>
          <w:rFonts w:cs="Arial"/>
        </w:rPr>
      </w:pPr>
    </w:p>
    <w:p w14:paraId="5B47AA4A" w14:textId="078F78FD" w:rsidR="000C6B4E" w:rsidRPr="00490AAB" w:rsidRDefault="000C6B4E" w:rsidP="009333F8">
      <w:pPr>
        <w:pStyle w:val="ACDBGBODYArial11"/>
        <w:spacing w:line="240" w:lineRule="auto"/>
      </w:pPr>
      <w:r w:rsidRPr="00490AAB">
        <w:t>A Grant Recipient may choose to purchase certain goods and services through an interlocal agreement with an authorized purchasing cooperative, such as the Texas Association of School Boards, Buy Board, or the Houston-Galveston Area Council (</w:t>
      </w:r>
      <w:proofErr w:type="spellStart"/>
      <w:r w:rsidRPr="00490AAB">
        <w:t>HGACBuy</w:t>
      </w:r>
      <w:proofErr w:type="spellEnd"/>
      <w:r w:rsidRPr="00490AAB">
        <w:t>). All state and federal competitive procurement requirements apply to purchases through these entities</w:t>
      </w:r>
      <w:r w:rsidR="00A965D5">
        <w:rPr>
          <w:lang w:val="en-US"/>
        </w:rPr>
        <w:t>;</w:t>
      </w:r>
      <w:r w:rsidRPr="00490AAB">
        <w:t xml:space="preserve"> however, many steps may be conducted by the third party rather than the Grant Recipient.  </w:t>
      </w:r>
    </w:p>
    <w:p w14:paraId="675CAD8D" w14:textId="77777777" w:rsidR="000C6B4E" w:rsidRPr="00490AAB" w:rsidRDefault="000C6B4E" w:rsidP="009333F8">
      <w:pPr>
        <w:pStyle w:val="ACDBGBODYArial11"/>
        <w:spacing w:line="240" w:lineRule="auto"/>
      </w:pPr>
    </w:p>
    <w:p w14:paraId="697ADDCD" w14:textId="6E1B0D94" w:rsidR="000C6B4E" w:rsidRPr="0090789D" w:rsidRDefault="000C6B4E" w:rsidP="009333F8">
      <w:pPr>
        <w:pStyle w:val="ACDBGBODYArial11"/>
        <w:spacing w:line="240" w:lineRule="auto"/>
        <w:rPr>
          <w:lang w:val="en-US"/>
        </w:rPr>
      </w:pPr>
      <w:r w:rsidRPr="00490AAB">
        <w:t>The Grant Recipient must retain copies of the cooperative’s competitive procurement procedures. At a minimum, such records should include</w:t>
      </w:r>
      <w:r w:rsidR="004F0E7F">
        <w:rPr>
          <w:lang w:val="en-US"/>
        </w:rPr>
        <w:t>:</w:t>
      </w:r>
    </w:p>
    <w:p w14:paraId="299BEAAC" w14:textId="22571D4D" w:rsidR="000C6B4E" w:rsidRPr="007C5CCC" w:rsidRDefault="00323836" w:rsidP="005F4682">
      <w:pPr>
        <w:pStyle w:val="BULLETS"/>
        <w:numPr>
          <w:ilvl w:val="0"/>
          <w:numId w:val="18"/>
        </w:numPr>
        <w:spacing w:line="240" w:lineRule="auto"/>
      </w:pPr>
      <w:r>
        <w:t>I</w:t>
      </w:r>
      <w:r w:rsidR="000C6B4E" w:rsidRPr="007C5CCC">
        <w:t>nterlocal agreement between the cooperative and local government</w:t>
      </w:r>
      <w:r w:rsidR="00A965D5">
        <w:t>,</w:t>
      </w:r>
    </w:p>
    <w:p w14:paraId="5D86A339" w14:textId="030D044B" w:rsidR="000C6B4E" w:rsidRPr="007C5CCC" w:rsidRDefault="00323836" w:rsidP="005F4682">
      <w:pPr>
        <w:pStyle w:val="BULLETS"/>
        <w:numPr>
          <w:ilvl w:val="0"/>
          <w:numId w:val="18"/>
        </w:numPr>
        <w:spacing w:line="240" w:lineRule="auto"/>
      </w:pPr>
      <w:r>
        <w:t>I</w:t>
      </w:r>
      <w:r w:rsidR="000C6B4E" w:rsidRPr="007C5CCC">
        <w:t>nvitation for bids advertisements</w:t>
      </w:r>
      <w:r w:rsidR="00A965D5">
        <w:t>,</w:t>
      </w:r>
    </w:p>
    <w:p w14:paraId="11309A47" w14:textId="6C457990" w:rsidR="000C6B4E" w:rsidRPr="007C5CCC" w:rsidRDefault="00323836" w:rsidP="005F4682">
      <w:pPr>
        <w:pStyle w:val="BULLETS"/>
        <w:numPr>
          <w:ilvl w:val="0"/>
          <w:numId w:val="18"/>
        </w:numPr>
        <w:spacing w:line="240" w:lineRule="auto"/>
      </w:pPr>
      <w:r>
        <w:t>D</w:t>
      </w:r>
      <w:r w:rsidR="000C6B4E" w:rsidRPr="007C5CCC">
        <w:t xml:space="preserve">ocumentation of affirmative steps to include </w:t>
      </w:r>
      <w:r w:rsidR="000C6B4E">
        <w:t xml:space="preserve">small, </w:t>
      </w:r>
      <w:r w:rsidR="000C6B4E" w:rsidRPr="007C5CCC">
        <w:t>minority</w:t>
      </w:r>
      <w:r w:rsidR="000C6B4E">
        <w:t xml:space="preserve">- and women-owned </w:t>
      </w:r>
      <w:r w:rsidR="000C6B4E" w:rsidRPr="007C5CCC">
        <w:t xml:space="preserve">business enterprises in accordance with 2 </w:t>
      </w:r>
      <w:r w:rsidR="000C6B4E">
        <w:t>CFR §</w:t>
      </w:r>
      <w:r w:rsidR="000C6B4E" w:rsidRPr="007C5CCC">
        <w:t>200.321</w:t>
      </w:r>
      <w:r w:rsidR="00A965D5">
        <w:t>,</w:t>
      </w:r>
    </w:p>
    <w:p w14:paraId="109B3DBC" w14:textId="05080E52" w:rsidR="000C6B4E" w:rsidRDefault="00323836" w:rsidP="005F4682">
      <w:pPr>
        <w:pStyle w:val="BULLETS"/>
        <w:numPr>
          <w:ilvl w:val="0"/>
          <w:numId w:val="18"/>
        </w:numPr>
        <w:spacing w:line="240" w:lineRule="auto"/>
      </w:pPr>
      <w:r>
        <w:t>B</w:t>
      </w:r>
      <w:r w:rsidR="000C6B4E" w:rsidRPr="007C5CCC">
        <w:t>id tabulation of bids received and opened</w:t>
      </w:r>
      <w:r w:rsidR="00A965D5">
        <w:t>, and</w:t>
      </w:r>
    </w:p>
    <w:p w14:paraId="2E9C01A8" w14:textId="602E18B4" w:rsidR="000C6B4E" w:rsidRDefault="00323836" w:rsidP="005F4682">
      <w:pPr>
        <w:pStyle w:val="BULLETS"/>
        <w:numPr>
          <w:ilvl w:val="0"/>
          <w:numId w:val="18"/>
        </w:numPr>
        <w:spacing w:line="240" w:lineRule="auto"/>
      </w:pPr>
      <w:r>
        <w:rPr>
          <w:spacing w:val="1"/>
        </w:rPr>
        <w:t>U</w:t>
      </w:r>
      <w:r w:rsidR="000C6B4E">
        <w:rPr>
          <w:spacing w:val="1"/>
        </w:rPr>
        <w:t>pdating the MSR with third-party cooperative purchases.</w:t>
      </w:r>
    </w:p>
    <w:p w14:paraId="1E6A52B9" w14:textId="77777777" w:rsidR="000C6B4E" w:rsidRDefault="000C6B4E" w:rsidP="009333F8">
      <w:pPr>
        <w:pStyle w:val="ACDBGBODYArial11"/>
        <w:spacing w:line="240" w:lineRule="auto"/>
      </w:pPr>
    </w:p>
    <w:p w14:paraId="6FF45434" w14:textId="77777777" w:rsidR="000C6B4E" w:rsidRDefault="000C6B4E" w:rsidP="009333F8">
      <w:pPr>
        <w:pStyle w:val="Heading2"/>
      </w:pPr>
      <w:bookmarkStart w:id="42" w:name="_Toc123110905"/>
      <w:bookmarkStart w:id="43" w:name="_Toc171786603"/>
      <w:bookmarkStart w:id="44" w:name="_Toc171786701"/>
      <w:r>
        <w:t>5.3.4</w:t>
      </w:r>
      <w:r w:rsidRPr="000B4E11">
        <w:t xml:space="preserve"> Small Purchase Procurement</w:t>
      </w:r>
      <w:bookmarkEnd w:id="42"/>
      <w:bookmarkEnd w:id="43"/>
      <w:bookmarkEnd w:id="44"/>
    </w:p>
    <w:p w14:paraId="0B4F364C" w14:textId="77777777" w:rsidR="000C6B4E" w:rsidRPr="008F6AD8" w:rsidRDefault="000C6B4E" w:rsidP="009333F8"/>
    <w:p w14:paraId="78E2A832" w14:textId="211A1F2E" w:rsidR="000C6B4E" w:rsidRPr="008F6AD8" w:rsidRDefault="000C6B4E" w:rsidP="009333F8">
      <w:pPr>
        <w:jc w:val="both"/>
        <w:rPr>
          <w:rFonts w:cs="Arial"/>
          <w:spacing w:val="-2"/>
          <w:szCs w:val="22"/>
        </w:rPr>
      </w:pPr>
      <w:r w:rsidRPr="008F6AD8">
        <w:rPr>
          <w:rFonts w:cs="Arial"/>
          <w:spacing w:val="-2"/>
          <w:szCs w:val="22"/>
        </w:rPr>
        <w:t xml:space="preserve">The </w:t>
      </w:r>
      <w:r>
        <w:rPr>
          <w:rFonts w:cs="Arial"/>
          <w:spacing w:val="-2"/>
          <w:szCs w:val="22"/>
        </w:rPr>
        <w:t>s</w:t>
      </w:r>
      <w:r w:rsidRPr="008F6AD8">
        <w:rPr>
          <w:rFonts w:cs="Arial"/>
          <w:spacing w:val="-2"/>
          <w:szCs w:val="22"/>
        </w:rPr>
        <w:t xml:space="preserve">mall </w:t>
      </w:r>
      <w:r>
        <w:rPr>
          <w:rFonts w:cs="Arial"/>
          <w:spacing w:val="-2"/>
          <w:szCs w:val="22"/>
        </w:rPr>
        <w:t>p</w:t>
      </w:r>
      <w:r w:rsidRPr="008F6AD8">
        <w:rPr>
          <w:rFonts w:cs="Arial"/>
          <w:spacing w:val="-2"/>
          <w:szCs w:val="22"/>
        </w:rPr>
        <w:t>urchase procurement method uses relatively simple and informal procurement methods to secure equipment, non-professional</w:t>
      </w:r>
      <w:r w:rsidRPr="008F6AD8">
        <w:rPr>
          <w:rFonts w:cs="Arial"/>
          <w:b/>
          <w:spacing w:val="-2"/>
          <w:szCs w:val="22"/>
        </w:rPr>
        <w:t>/</w:t>
      </w:r>
      <w:r w:rsidRPr="008F6AD8">
        <w:rPr>
          <w:rFonts w:cs="Arial"/>
          <w:spacing w:val="-2"/>
          <w:szCs w:val="22"/>
        </w:rPr>
        <w:t>non-</w:t>
      </w:r>
      <w:r w:rsidR="00004A6A">
        <w:rPr>
          <w:rFonts w:cs="Arial"/>
          <w:spacing w:val="-2"/>
          <w:szCs w:val="22"/>
        </w:rPr>
        <w:t>administration</w:t>
      </w:r>
      <w:r w:rsidRPr="008F6AD8">
        <w:rPr>
          <w:rFonts w:cs="Arial"/>
          <w:spacing w:val="-2"/>
          <w:szCs w:val="22"/>
        </w:rPr>
        <w:t xml:space="preserve"> services, supplies or other property that cost, in the aggregate, greater than $2,000 and less than or equal to $50,000 in accordance with state law.  </w:t>
      </w:r>
    </w:p>
    <w:p w14:paraId="2A5B74E9" w14:textId="77777777" w:rsidR="000C6B4E" w:rsidRPr="00E45B41" w:rsidRDefault="000C6B4E" w:rsidP="009333F8">
      <w:pPr>
        <w:jc w:val="both"/>
        <w:rPr>
          <w:rFonts w:cs="Arial"/>
          <w:szCs w:val="22"/>
        </w:rPr>
      </w:pPr>
    </w:p>
    <w:p w14:paraId="11A0D41B" w14:textId="667609EB" w:rsidR="000C6B4E" w:rsidRPr="00E45B41" w:rsidRDefault="000C6B4E" w:rsidP="009333F8">
      <w:pPr>
        <w:jc w:val="both"/>
        <w:rPr>
          <w:rFonts w:cs="Arial"/>
          <w:szCs w:val="22"/>
        </w:rPr>
      </w:pPr>
      <w:r w:rsidRPr="00E45B41">
        <w:rPr>
          <w:rFonts w:cs="Arial"/>
          <w:szCs w:val="22"/>
        </w:rPr>
        <w:t xml:space="preserve">Key concepts for </w:t>
      </w:r>
      <w:r>
        <w:rPr>
          <w:rFonts w:cs="Arial"/>
          <w:szCs w:val="22"/>
        </w:rPr>
        <w:t>s</w:t>
      </w:r>
      <w:r w:rsidRPr="00E45B41">
        <w:rPr>
          <w:rFonts w:cs="Arial"/>
          <w:szCs w:val="22"/>
        </w:rPr>
        <w:t xml:space="preserve">mall </w:t>
      </w:r>
      <w:r>
        <w:rPr>
          <w:rFonts w:cs="Arial"/>
          <w:szCs w:val="22"/>
        </w:rPr>
        <w:t>p</w:t>
      </w:r>
      <w:r w:rsidRPr="00E45B41">
        <w:rPr>
          <w:rFonts w:cs="Arial"/>
          <w:szCs w:val="22"/>
        </w:rPr>
        <w:t>urchase procurement include</w:t>
      </w:r>
      <w:r w:rsidR="00A965D5">
        <w:rPr>
          <w:rFonts w:cs="Arial"/>
          <w:szCs w:val="22"/>
        </w:rPr>
        <w:t xml:space="preserve"> the following:</w:t>
      </w:r>
    </w:p>
    <w:p w14:paraId="61F5D1E5" w14:textId="58B0A69C" w:rsidR="000C6B4E" w:rsidRPr="00057E28" w:rsidRDefault="00323836" w:rsidP="005F4682">
      <w:pPr>
        <w:pStyle w:val="BULLETS"/>
        <w:numPr>
          <w:ilvl w:val="0"/>
          <w:numId w:val="17"/>
        </w:numPr>
        <w:spacing w:line="240" w:lineRule="auto"/>
      </w:pPr>
      <w:r>
        <w:rPr>
          <w:b/>
          <w:bCs/>
        </w:rPr>
        <w:t>A</w:t>
      </w:r>
      <w:r w:rsidR="000C6B4E" w:rsidRPr="00490AAB">
        <w:rPr>
          <w:b/>
          <w:bCs/>
        </w:rPr>
        <w:t>ggregate cost</w:t>
      </w:r>
      <w:r w:rsidR="000C6B4E" w:rsidRPr="00490AAB">
        <w:t xml:space="preserve"> – </w:t>
      </w:r>
      <w:r w:rsidR="000C6B4E" w:rsidRPr="00490AAB">
        <w:rPr>
          <w:bCs/>
        </w:rPr>
        <w:t xml:space="preserve">total </w:t>
      </w:r>
      <w:r w:rsidR="000C6B4E" w:rsidRPr="00057E28">
        <w:rPr>
          <w:bCs/>
        </w:rPr>
        <w:t>cost of the project/job including</w:t>
      </w:r>
      <w:r w:rsidR="000C6B4E" w:rsidRPr="00057E28">
        <w:t xml:space="preserve"> TxCDBG funds and all other funding </w:t>
      </w:r>
      <w:proofErr w:type="gramStart"/>
      <w:r w:rsidR="000C6B4E" w:rsidRPr="00057E28">
        <w:t>sources;</w:t>
      </w:r>
      <w:proofErr w:type="gramEnd"/>
    </w:p>
    <w:p w14:paraId="2E821FF9" w14:textId="369D66B3" w:rsidR="000C6B4E" w:rsidRPr="00057E28" w:rsidRDefault="003D0E80" w:rsidP="005F4682">
      <w:pPr>
        <w:pStyle w:val="BULLETS"/>
        <w:numPr>
          <w:ilvl w:val="0"/>
          <w:numId w:val="17"/>
        </w:numPr>
        <w:spacing w:line="240" w:lineRule="auto"/>
      </w:pPr>
      <w:r w:rsidRPr="00057E28">
        <w:rPr>
          <w:b/>
          <w:bCs/>
        </w:rPr>
        <w:t>J</w:t>
      </w:r>
      <w:r w:rsidR="000C6B4E" w:rsidRPr="00057E28">
        <w:rPr>
          <w:b/>
          <w:bCs/>
        </w:rPr>
        <w:t>ob</w:t>
      </w:r>
      <w:r w:rsidR="000C6B4E" w:rsidRPr="00057E28">
        <w:t xml:space="preserve"> – a project as defined by the engineering plans and specs</w:t>
      </w:r>
      <w:r w:rsidR="00681F35" w:rsidRPr="00057E28">
        <w:t xml:space="preserve">, and by the project description of the relevant Environmental </w:t>
      </w:r>
      <w:proofErr w:type="gramStart"/>
      <w:r w:rsidR="00681F35" w:rsidRPr="00057E28">
        <w:t>Review</w:t>
      </w:r>
      <w:r w:rsidR="000C6B4E" w:rsidRPr="00057E28">
        <w:t>;</w:t>
      </w:r>
      <w:proofErr w:type="gramEnd"/>
    </w:p>
    <w:p w14:paraId="51116EDE" w14:textId="7388A564" w:rsidR="000C6B4E" w:rsidRPr="00490AAB" w:rsidRDefault="00323836" w:rsidP="005F4682">
      <w:pPr>
        <w:pStyle w:val="BULLETS"/>
        <w:numPr>
          <w:ilvl w:val="0"/>
          <w:numId w:val="17"/>
        </w:numPr>
        <w:spacing w:line="240" w:lineRule="auto"/>
      </w:pPr>
      <w:r w:rsidRPr="00057E28">
        <w:rPr>
          <w:b/>
          <w:bCs/>
        </w:rPr>
        <w:t>S</w:t>
      </w:r>
      <w:r w:rsidR="000C6B4E" w:rsidRPr="00057E28">
        <w:rPr>
          <w:b/>
          <w:bCs/>
        </w:rPr>
        <w:t>eparate purchases</w:t>
      </w:r>
      <w:r w:rsidR="000C6B4E" w:rsidRPr="00057E28">
        <w:t xml:space="preserve"> – </w:t>
      </w:r>
      <w:r w:rsidR="00F062AF" w:rsidRPr="00057E28">
        <w:t>P</w:t>
      </w:r>
      <w:r w:rsidR="000C6B4E" w:rsidRPr="00057E28">
        <w:t xml:space="preserve">urchases, made </w:t>
      </w:r>
      <w:r w:rsidR="000C6B4E" w:rsidRPr="00490AAB">
        <w:t xml:space="preserve">separately, of items that in normal purchasing practices would be purchased in one </w:t>
      </w:r>
      <w:proofErr w:type="gramStart"/>
      <w:r w:rsidR="000C6B4E" w:rsidRPr="00490AAB">
        <w:t>purchase;</w:t>
      </w:r>
      <w:proofErr w:type="gramEnd"/>
    </w:p>
    <w:p w14:paraId="24D72B91" w14:textId="10A4A14C" w:rsidR="000C6B4E" w:rsidRPr="00490AAB" w:rsidRDefault="00323836" w:rsidP="005F4682">
      <w:pPr>
        <w:pStyle w:val="BULLETS"/>
        <w:numPr>
          <w:ilvl w:val="0"/>
          <w:numId w:val="17"/>
        </w:numPr>
        <w:spacing w:line="240" w:lineRule="auto"/>
      </w:pPr>
      <w:r>
        <w:rPr>
          <w:b/>
          <w:bCs/>
        </w:rPr>
        <w:t>S</w:t>
      </w:r>
      <w:r w:rsidR="000C6B4E" w:rsidRPr="00490AAB">
        <w:rPr>
          <w:b/>
          <w:bCs/>
        </w:rPr>
        <w:t>equential purchases</w:t>
      </w:r>
      <w:r w:rsidR="000C6B4E" w:rsidRPr="00490AAB">
        <w:t xml:space="preserve"> – </w:t>
      </w:r>
      <w:r w:rsidR="00F062AF">
        <w:t>P</w:t>
      </w:r>
      <w:r w:rsidR="000C6B4E" w:rsidRPr="00490AAB">
        <w:t>urchases, made over a period, of items that in normal purchasing practices would be purchased in one purchase; and</w:t>
      </w:r>
    </w:p>
    <w:p w14:paraId="6DAF293F" w14:textId="00CC2BB2" w:rsidR="000C6B4E" w:rsidRPr="00490AAB" w:rsidRDefault="00323836" w:rsidP="005F4682">
      <w:pPr>
        <w:pStyle w:val="BULLETS"/>
        <w:numPr>
          <w:ilvl w:val="0"/>
          <w:numId w:val="17"/>
        </w:numPr>
        <w:spacing w:line="240" w:lineRule="auto"/>
      </w:pPr>
      <w:r>
        <w:rPr>
          <w:b/>
          <w:bCs/>
        </w:rPr>
        <w:t>C</w:t>
      </w:r>
      <w:r w:rsidR="000C6B4E" w:rsidRPr="00490AAB">
        <w:rPr>
          <w:b/>
          <w:bCs/>
        </w:rPr>
        <w:t>omponent purchases</w:t>
      </w:r>
      <w:r w:rsidR="000C6B4E" w:rsidRPr="00490AAB">
        <w:t xml:space="preserve"> – </w:t>
      </w:r>
      <w:r w:rsidR="00F062AF">
        <w:t>P</w:t>
      </w:r>
      <w:r w:rsidR="000C6B4E" w:rsidRPr="00490AAB">
        <w:t>urchases of the component parts of an item that in normal purchasing practices would be purchased in one purchase.</w:t>
      </w:r>
    </w:p>
    <w:p w14:paraId="73CE5257" w14:textId="77777777" w:rsidR="000C6B4E" w:rsidRPr="00490AAB" w:rsidRDefault="000C6B4E" w:rsidP="009333F8">
      <w:pPr>
        <w:jc w:val="both"/>
        <w:rPr>
          <w:rFonts w:cs="Arial"/>
          <w:szCs w:val="22"/>
        </w:rPr>
      </w:pPr>
    </w:p>
    <w:p w14:paraId="4D39C891" w14:textId="3D052569" w:rsidR="000C6B4E" w:rsidRPr="005A01E1" w:rsidRDefault="00A965D5" w:rsidP="009333F8">
      <w:pPr>
        <w:pStyle w:val="ACDBGBODYArial11"/>
        <w:spacing w:line="240" w:lineRule="auto"/>
      </w:pPr>
      <w:r>
        <w:rPr>
          <w:lang w:val="en-US"/>
        </w:rPr>
        <w:t xml:space="preserve">The </w:t>
      </w:r>
      <w:r w:rsidR="000C6B4E">
        <w:rPr>
          <w:lang w:val="en-US"/>
        </w:rPr>
        <w:t>Texas</w:t>
      </w:r>
      <w:r w:rsidR="000C6B4E" w:rsidRPr="005A01E1">
        <w:t xml:space="preserve"> Local Government Code</w:t>
      </w:r>
      <w:r w:rsidR="00323836">
        <w:rPr>
          <w:lang w:val="en-US"/>
        </w:rPr>
        <w:t xml:space="preserve"> </w:t>
      </w:r>
      <w:r w:rsidR="000C6B4E" w:rsidRPr="005A01E1">
        <w:t>specifically prohibit</w:t>
      </w:r>
      <w:r w:rsidR="00323836">
        <w:rPr>
          <w:lang w:val="en-US"/>
        </w:rPr>
        <w:t>s</w:t>
      </w:r>
      <w:r w:rsidR="000C6B4E" w:rsidRPr="005A01E1">
        <w:t xml:space="preserve"> the use of the</w:t>
      </w:r>
      <w:r w:rsidR="000C6B4E">
        <w:rPr>
          <w:lang w:val="en-US"/>
        </w:rPr>
        <w:t xml:space="preserve"> </w:t>
      </w:r>
      <w:r w:rsidR="000C6B4E" w:rsidRPr="005A01E1">
        <w:t>small purchase procurement method to make separate, sequential, or component purchases of items or services, with the intent of avoiding the competitive bidding and competitive proposal requirements.</w:t>
      </w:r>
      <w:r w:rsidR="00323836">
        <w:rPr>
          <w:rStyle w:val="FootnoteReference"/>
        </w:rPr>
        <w:footnoteReference w:id="19"/>
      </w:r>
      <w:r w:rsidR="000C6B4E" w:rsidRPr="005A01E1">
        <w:t xml:space="preserve"> Separate small purchases for materials/equipment and installation are not considered appropriate if the initial estimate for both material/equipment and associated installation exceeds $50,000. </w:t>
      </w:r>
    </w:p>
    <w:p w14:paraId="73D8B30B" w14:textId="6C5C6391" w:rsidR="000C6B4E" w:rsidRPr="00E45B41" w:rsidRDefault="000C6B4E" w:rsidP="009333F8">
      <w:pPr>
        <w:pStyle w:val="ACDBGBODYArial11"/>
        <w:spacing w:line="240" w:lineRule="auto"/>
        <w:rPr>
          <w:iCs/>
        </w:rPr>
      </w:pPr>
      <w:r w:rsidRPr="00D679CD">
        <w:rPr>
          <w:b/>
          <w:bCs/>
          <w:iCs/>
        </w:rPr>
        <w:t>EXAMPLE</w:t>
      </w:r>
      <w:r w:rsidRPr="00E45B41">
        <w:rPr>
          <w:iCs/>
        </w:rPr>
        <w:t>:</w:t>
      </w:r>
    </w:p>
    <w:p w14:paraId="5B599332" w14:textId="1175725B" w:rsidR="000C6B4E" w:rsidRPr="00E45B41" w:rsidRDefault="000C6B4E" w:rsidP="005F4682">
      <w:pPr>
        <w:numPr>
          <w:ilvl w:val="0"/>
          <w:numId w:val="16"/>
        </w:numPr>
        <w:jc w:val="both"/>
        <w:rPr>
          <w:rFonts w:cs="Arial"/>
          <w:szCs w:val="22"/>
        </w:rPr>
      </w:pPr>
      <w:r w:rsidRPr="00E45B41">
        <w:rPr>
          <w:rFonts w:cs="Arial"/>
          <w:szCs w:val="22"/>
        </w:rPr>
        <w:t xml:space="preserve">A water line job </w:t>
      </w:r>
      <w:r>
        <w:rPr>
          <w:rFonts w:cs="Arial"/>
          <w:szCs w:val="22"/>
        </w:rPr>
        <w:t>is</w:t>
      </w:r>
      <w:r w:rsidRPr="00E45B41">
        <w:rPr>
          <w:rFonts w:cs="Arial"/>
          <w:szCs w:val="22"/>
        </w:rPr>
        <w:t xml:space="preserve"> one </w:t>
      </w:r>
      <w:r>
        <w:rPr>
          <w:rFonts w:cs="Arial"/>
          <w:szCs w:val="22"/>
        </w:rPr>
        <w:t>project</w:t>
      </w:r>
      <w:r w:rsidR="00323836">
        <w:rPr>
          <w:rFonts w:cs="Arial"/>
          <w:szCs w:val="22"/>
        </w:rPr>
        <w:t xml:space="preserve">; </w:t>
      </w:r>
      <w:r>
        <w:rPr>
          <w:rFonts w:cs="Arial"/>
          <w:szCs w:val="22"/>
        </w:rPr>
        <w:t>all</w:t>
      </w:r>
      <w:r w:rsidRPr="00E45B41">
        <w:rPr>
          <w:rFonts w:cs="Arial"/>
          <w:szCs w:val="22"/>
        </w:rPr>
        <w:t xml:space="preserve"> purchases of pipe, fire hydrants, valves, and fittings</w:t>
      </w:r>
      <w:r>
        <w:rPr>
          <w:rFonts w:cs="Arial"/>
          <w:szCs w:val="22"/>
        </w:rPr>
        <w:t xml:space="preserve"> are reviewed collectively to determine compliance with the $50,000 threshold</w:t>
      </w:r>
      <w:r w:rsidRPr="00E45B41">
        <w:rPr>
          <w:rFonts w:cs="Arial"/>
          <w:szCs w:val="22"/>
        </w:rPr>
        <w:t>.</w:t>
      </w:r>
    </w:p>
    <w:p w14:paraId="1670DC14" w14:textId="5652885F" w:rsidR="000C6B4E" w:rsidRPr="00E45B41" w:rsidRDefault="000C6B4E" w:rsidP="005F4682">
      <w:pPr>
        <w:numPr>
          <w:ilvl w:val="0"/>
          <w:numId w:val="16"/>
        </w:numPr>
        <w:jc w:val="both"/>
        <w:rPr>
          <w:rFonts w:cs="Arial"/>
          <w:szCs w:val="22"/>
        </w:rPr>
      </w:pPr>
      <w:r w:rsidRPr="00E45B41">
        <w:rPr>
          <w:rFonts w:cs="Arial"/>
          <w:szCs w:val="22"/>
        </w:rPr>
        <w:t xml:space="preserve">A water storage tank </w:t>
      </w:r>
      <w:r>
        <w:rPr>
          <w:rFonts w:cs="Arial"/>
          <w:szCs w:val="22"/>
        </w:rPr>
        <w:t>is considered one project</w:t>
      </w:r>
      <w:r w:rsidR="00323836">
        <w:rPr>
          <w:rFonts w:cs="Arial"/>
          <w:szCs w:val="22"/>
        </w:rPr>
        <w:t>;</w:t>
      </w:r>
      <w:r>
        <w:rPr>
          <w:rFonts w:cs="Arial"/>
          <w:szCs w:val="22"/>
        </w:rPr>
        <w:t xml:space="preserve"> subject to the $50,000 threshold;</w:t>
      </w:r>
      <w:r w:rsidRPr="00E45B41">
        <w:rPr>
          <w:rFonts w:cs="Arial"/>
          <w:szCs w:val="22"/>
        </w:rPr>
        <w:t xml:space="preserve"> site preparation, foundation, piping, valves, welding, etc</w:t>
      </w:r>
      <w:r>
        <w:rPr>
          <w:rFonts w:cs="Arial"/>
          <w:szCs w:val="22"/>
        </w:rPr>
        <w:t>. are not separate projects</w:t>
      </w:r>
      <w:r w:rsidRPr="00E45B41">
        <w:rPr>
          <w:rFonts w:cs="Arial"/>
          <w:szCs w:val="22"/>
        </w:rPr>
        <w:t>.</w:t>
      </w:r>
    </w:p>
    <w:p w14:paraId="02B7A8DC" w14:textId="77777777" w:rsidR="000C6B4E" w:rsidRPr="00E45B41" w:rsidRDefault="000C6B4E" w:rsidP="009333F8">
      <w:pPr>
        <w:jc w:val="both"/>
        <w:rPr>
          <w:rFonts w:cs="Arial"/>
          <w:szCs w:val="22"/>
        </w:rPr>
      </w:pPr>
    </w:p>
    <w:p w14:paraId="5AD5BF3C" w14:textId="77777777" w:rsidR="000C6B4E" w:rsidRDefault="000C6B4E" w:rsidP="009333F8">
      <w:pPr>
        <w:pStyle w:val="ACDBGBODYArial11"/>
        <w:spacing w:line="240" w:lineRule="auto"/>
      </w:pPr>
      <w:r w:rsidRPr="00E45B41">
        <w:t xml:space="preserve">Prior to beginning small purchase procedures, the Grant Recipient </w:t>
      </w:r>
      <w:r>
        <w:t>should get an estimate of the cost of construction or, for materials contracts, the cost of both equipment/materials and installation, from the engineer</w:t>
      </w:r>
      <w:r w:rsidRPr="00E45B41">
        <w:t>.</w:t>
      </w:r>
      <w:r>
        <w:t xml:space="preserve"> </w:t>
      </w:r>
      <w:r w:rsidRPr="00E45B41">
        <w:t xml:space="preserve">If the estimated cost is greater than $50,000, small purchase procurement </w:t>
      </w:r>
      <w:r>
        <w:t xml:space="preserve">would not be considered appropriate and </w:t>
      </w:r>
      <w:r w:rsidRPr="00E45B41">
        <w:t xml:space="preserve">is not </w:t>
      </w:r>
      <w:r>
        <w:t>an allowable cost</w:t>
      </w:r>
      <w:r w:rsidRPr="00E45B41">
        <w:t>.</w:t>
      </w:r>
    </w:p>
    <w:p w14:paraId="55164D4B" w14:textId="77777777" w:rsidR="000C6B4E" w:rsidRDefault="000C6B4E" w:rsidP="00B16DFB"/>
    <w:p w14:paraId="53A027B0" w14:textId="77777777" w:rsidR="000C6B4E" w:rsidRPr="00FE6E46" w:rsidRDefault="000C6B4E" w:rsidP="009333F8">
      <w:pPr>
        <w:rPr>
          <w:b/>
          <w:bCs/>
          <w:noProof/>
        </w:rPr>
      </w:pPr>
      <w:r w:rsidRPr="00FE6E46">
        <w:rPr>
          <w:b/>
          <w:bCs/>
          <w:noProof/>
        </w:rPr>
        <w:t>Step 1. Prepare Scope of Request</w:t>
      </w:r>
    </w:p>
    <w:p w14:paraId="421F64ED" w14:textId="77777777" w:rsidR="000C6B4E" w:rsidRDefault="000C6B4E" w:rsidP="001052AC">
      <w:pPr>
        <w:pStyle w:val="ACDBGBODYArial11"/>
        <w:spacing w:line="240" w:lineRule="auto"/>
      </w:pPr>
      <w:r w:rsidRPr="009F3769">
        <w:t xml:space="preserve">The Grant Recipient must prepare a </w:t>
      </w:r>
      <w:r>
        <w:rPr>
          <w:lang w:val="en-US"/>
        </w:rPr>
        <w:t xml:space="preserve">brief description of the scope of work being requested, </w:t>
      </w:r>
      <w:r w:rsidRPr="009F3769">
        <w:t xml:space="preserve">detailing the specific goods or services to be provided by the contractor. This package should provide sufficient technical information for potential </w:t>
      </w:r>
      <w:r>
        <w:rPr>
          <w:lang w:val="en-US"/>
        </w:rPr>
        <w:t>respondents</w:t>
      </w:r>
      <w:r w:rsidRPr="009F3769">
        <w:t xml:space="preserve"> to submit a competitive </w:t>
      </w:r>
      <w:r>
        <w:rPr>
          <w:lang w:val="en-US"/>
        </w:rPr>
        <w:t>quote</w:t>
      </w:r>
      <w:r w:rsidRPr="009F3769">
        <w:t xml:space="preserve">. </w:t>
      </w:r>
    </w:p>
    <w:p w14:paraId="496FB7B5" w14:textId="77777777" w:rsidR="000C6B4E" w:rsidRDefault="000C6B4E" w:rsidP="001052AC"/>
    <w:p w14:paraId="6014B0E4" w14:textId="4F3B1FCB" w:rsidR="00323836" w:rsidRDefault="00323836" w:rsidP="001052AC">
      <w:pPr>
        <w:pStyle w:val="1BODY-Arial11"/>
        <w:spacing w:line="240" w:lineRule="auto"/>
      </w:pPr>
      <w:r>
        <w:t xml:space="preserve">Update the MSR with the Scope of Request. Detailed step-by-step instructions for completing and submitting an MSR in TDA-GO may be found on the TDA website. </w:t>
      </w:r>
    </w:p>
    <w:p w14:paraId="12234BE5" w14:textId="14D2F62B" w:rsidR="000C6B4E" w:rsidRDefault="000C6B4E" w:rsidP="001052AC"/>
    <w:p w14:paraId="6F2354E6" w14:textId="77777777" w:rsidR="000C6B4E" w:rsidRPr="00FE6E46" w:rsidRDefault="000C6B4E" w:rsidP="009333F8">
      <w:pPr>
        <w:rPr>
          <w:b/>
          <w:bCs/>
        </w:rPr>
      </w:pPr>
      <w:r w:rsidRPr="00FE6E46">
        <w:rPr>
          <w:b/>
          <w:bCs/>
          <w:noProof/>
        </w:rPr>
        <w:t>Step</w:t>
      </w:r>
      <w:r w:rsidRPr="00FE6E46">
        <w:rPr>
          <w:b/>
          <w:bCs/>
        </w:rPr>
        <w:t xml:space="preserve"> 2. Comply with Davis-Bacon Act Requirements</w:t>
      </w:r>
    </w:p>
    <w:p w14:paraId="397CEB0C" w14:textId="15B88181" w:rsidR="000C6B4E" w:rsidRPr="00323836" w:rsidRDefault="000C6B4E" w:rsidP="001052AC">
      <w:pPr>
        <w:pStyle w:val="ACDBGBODYArial11"/>
        <w:spacing w:line="240" w:lineRule="auto"/>
        <w:rPr>
          <w:lang w:val="en-US"/>
        </w:rPr>
      </w:pPr>
      <w:r w:rsidRPr="00E45B41">
        <w:t>The Grant Recipient must obtain prevailing wage rates for the local area as required by the Davis-Bacon and Related Acts</w:t>
      </w:r>
      <w:r>
        <w:t xml:space="preserve"> </w:t>
      </w:r>
      <w:r w:rsidRPr="00E45B41">
        <w:t>and incorporate those wage rates into the procure</w:t>
      </w:r>
      <w:r w:rsidRPr="00DD3A91">
        <w:t>ment for construction</w:t>
      </w:r>
      <w:r w:rsidR="00323836">
        <w:rPr>
          <w:lang w:val="en-US"/>
        </w:rPr>
        <w:t>, s</w:t>
      </w:r>
      <w:proofErr w:type="spellStart"/>
      <w:r w:rsidRPr="00DD3A91">
        <w:t>ee</w:t>
      </w:r>
      <w:proofErr w:type="spellEnd"/>
      <w:r w:rsidRPr="00DD3A91">
        <w:t xml:space="preserve"> </w:t>
      </w:r>
      <w:r w:rsidRPr="00C477F3">
        <w:rPr>
          <w:i/>
          <w:iCs/>
        </w:rPr>
        <w:t>Chapter 7</w:t>
      </w:r>
      <w:r w:rsidRPr="00323836">
        <w:rPr>
          <w:i/>
          <w:iCs/>
        </w:rPr>
        <w:t xml:space="preserve"> Davis-Bacon Labor Standards</w:t>
      </w:r>
      <w:r w:rsidR="00323836">
        <w:rPr>
          <w:lang w:val="en-US"/>
        </w:rPr>
        <w:t>.</w:t>
      </w:r>
    </w:p>
    <w:p w14:paraId="08520FFE" w14:textId="77777777" w:rsidR="000C6B4E" w:rsidRDefault="000C6B4E" w:rsidP="001052AC">
      <w:pPr>
        <w:pStyle w:val="ACDBGBODYArial11"/>
        <w:spacing w:line="240" w:lineRule="auto"/>
      </w:pPr>
    </w:p>
    <w:p w14:paraId="66A0608B" w14:textId="181F8AEC" w:rsidR="00323836" w:rsidRDefault="000C6B4E" w:rsidP="001052AC">
      <w:pPr>
        <w:pStyle w:val="1BODY-Arial11"/>
        <w:spacing w:line="240" w:lineRule="auto"/>
      </w:pPr>
      <w:r>
        <w:t xml:space="preserve">Update the MSR with </w:t>
      </w:r>
      <w:r>
        <w:rPr>
          <w:spacing w:val="1"/>
        </w:rPr>
        <w:t>DBRA statistics</w:t>
      </w:r>
      <w:r>
        <w:t xml:space="preserve">. </w:t>
      </w:r>
      <w:r w:rsidR="00323836">
        <w:t xml:space="preserve">Detailed step-by-step instructions for completing and submitting an MSR in TDA-GO may be found on the TDA website. </w:t>
      </w:r>
    </w:p>
    <w:p w14:paraId="5F7699E7" w14:textId="77777777" w:rsidR="000A56E6" w:rsidRPr="00FE6E46" w:rsidRDefault="000A56E6" w:rsidP="00B16DFB"/>
    <w:p w14:paraId="1BCD4ACC" w14:textId="77777777" w:rsidR="000C6B4E" w:rsidRPr="00FE6E46" w:rsidRDefault="000C6B4E" w:rsidP="009333F8">
      <w:pPr>
        <w:rPr>
          <w:rFonts w:cs="Arial"/>
          <w:b/>
          <w:bCs/>
          <w:szCs w:val="22"/>
        </w:rPr>
      </w:pPr>
      <w:r w:rsidRPr="00FE6E46">
        <w:rPr>
          <w:rFonts w:cs="Arial"/>
          <w:b/>
          <w:bCs/>
          <w:noProof/>
          <w:szCs w:val="22"/>
        </w:rPr>
        <w:t>Step</w:t>
      </w:r>
      <w:r w:rsidRPr="00FE6E46">
        <w:rPr>
          <w:rFonts w:cs="Arial"/>
          <w:b/>
          <w:bCs/>
          <w:szCs w:val="22"/>
        </w:rPr>
        <w:t xml:space="preserve"> 3. Contact Three Vendors for Quotes or Estimates</w:t>
      </w:r>
    </w:p>
    <w:p w14:paraId="2DBB3779" w14:textId="2CEAE65D" w:rsidR="000C6B4E" w:rsidRDefault="000C6B4E" w:rsidP="001052AC">
      <w:pPr>
        <w:pStyle w:val="ACDBGBODYArial11"/>
        <w:spacing w:line="240" w:lineRule="auto"/>
      </w:pPr>
      <w:r w:rsidRPr="00854A3A">
        <w:t>The Grant Recipient must contact a minimum of three firms</w:t>
      </w:r>
      <w:r w:rsidR="00AB0E73">
        <w:rPr>
          <w:lang w:val="en-US"/>
        </w:rPr>
        <w:t xml:space="preserve"> or individuals</w:t>
      </w:r>
      <w:r w:rsidRPr="00854A3A">
        <w:t xml:space="preserve"> by phone, in person, or in writing including email, to obtain cost estimates for the goods or services. The responses (including responses that indicate no interest) must be recorded </w:t>
      </w:r>
      <w:r>
        <w:rPr>
          <w:lang w:val="en-US"/>
        </w:rPr>
        <w:t xml:space="preserve">with </w:t>
      </w:r>
      <w:r w:rsidRPr="00854A3A">
        <w:t>written quotes or written record of telephone quotes, including the date, price, specifications and other relevant terms, and the name and phone number of both the person providing the quote and the person requesting the quote</w:t>
      </w:r>
      <w:r>
        <w:rPr>
          <w:lang w:val="en-US"/>
        </w:rPr>
        <w:t>. These quotes will be uploaded in TDA</w:t>
      </w:r>
      <w:r w:rsidR="00323836">
        <w:rPr>
          <w:lang w:val="en-US"/>
        </w:rPr>
        <w:t>-</w:t>
      </w:r>
      <w:r>
        <w:rPr>
          <w:lang w:val="en-US"/>
        </w:rPr>
        <w:t xml:space="preserve">GO. </w:t>
      </w:r>
      <w:r w:rsidRPr="00854A3A">
        <w:t>Retain all written communications from all three firms.</w:t>
      </w:r>
    </w:p>
    <w:p w14:paraId="024BDBC0" w14:textId="77777777" w:rsidR="000C6B4E" w:rsidRDefault="000C6B4E" w:rsidP="001052AC">
      <w:pPr>
        <w:pStyle w:val="ACDBGBODYArial11"/>
        <w:spacing w:line="240" w:lineRule="auto"/>
      </w:pPr>
    </w:p>
    <w:p w14:paraId="55969C85" w14:textId="4FD7C336" w:rsidR="000C6B4E" w:rsidRDefault="000C6B4E" w:rsidP="001052AC">
      <w:pPr>
        <w:pStyle w:val="ACDBGBODYArial11"/>
        <w:spacing w:line="240" w:lineRule="auto"/>
      </w:pPr>
      <w:r>
        <w:rPr>
          <w:lang w:val="en-US"/>
        </w:rPr>
        <w:t xml:space="preserve">Update the MSR with </w:t>
      </w:r>
      <w:r>
        <w:rPr>
          <w:spacing w:val="1"/>
          <w:lang w:val="en-US"/>
        </w:rPr>
        <w:t>vendors’ names</w:t>
      </w:r>
      <w:r>
        <w:rPr>
          <w:lang w:val="en-US"/>
        </w:rPr>
        <w:t xml:space="preserve">. </w:t>
      </w:r>
      <w:r w:rsidR="00323836">
        <w:t>Detailed step-by-step instructions for completing and submitting an MSR in TDA-GO may be found on the TDA website.</w:t>
      </w:r>
    </w:p>
    <w:p w14:paraId="747F2A60" w14:textId="77777777" w:rsidR="00323836" w:rsidRPr="003B7EE4" w:rsidRDefault="00323836" w:rsidP="009333F8">
      <w:pPr>
        <w:pStyle w:val="ACDBGBODYArial11"/>
        <w:spacing w:line="240" w:lineRule="auto"/>
        <w:ind w:left="720"/>
        <w:rPr>
          <w:color w:val="000000"/>
        </w:rPr>
      </w:pPr>
    </w:p>
    <w:p w14:paraId="0DFF6B64" w14:textId="77777777" w:rsidR="000C6B4E" w:rsidRPr="00FE6E46" w:rsidRDefault="000C6B4E" w:rsidP="009333F8">
      <w:pPr>
        <w:rPr>
          <w:b/>
          <w:bCs/>
        </w:rPr>
      </w:pPr>
      <w:r w:rsidRPr="00FE6E46">
        <w:rPr>
          <w:b/>
          <w:bCs/>
          <w:noProof/>
        </w:rPr>
        <w:t>Step</w:t>
      </w:r>
      <w:r w:rsidRPr="00FE6E46">
        <w:rPr>
          <w:b/>
          <w:bCs/>
        </w:rPr>
        <w:t xml:space="preserve"> 4. Promote the Participation of SBEs, MBEs, WBEs, and Section 3 Businesses</w:t>
      </w:r>
    </w:p>
    <w:p w14:paraId="1AC7A356" w14:textId="77777777" w:rsidR="000C6B4E" w:rsidRPr="00057E28" w:rsidRDefault="000C6B4E" w:rsidP="001052AC">
      <w:pPr>
        <w:pStyle w:val="ACDBGBODYArial11"/>
        <w:spacing w:line="240" w:lineRule="auto"/>
      </w:pPr>
      <w:r w:rsidRPr="003B4274">
        <w:t>Grant Recipients should actively take steps to encourage proposals from SBEs</w:t>
      </w:r>
      <w:r>
        <w:rPr>
          <w:lang w:val="en-US"/>
        </w:rPr>
        <w:t xml:space="preserve">, </w:t>
      </w:r>
      <w:r w:rsidRPr="003B4274">
        <w:t xml:space="preserve">MBEs, and WBEs, as </w:t>
      </w:r>
      <w:r w:rsidRPr="00057E28">
        <w:t xml:space="preserve">well as Section 3 business concerns. </w:t>
      </w:r>
    </w:p>
    <w:p w14:paraId="77D1E312" w14:textId="77777777" w:rsidR="000C6B4E" w:rsidRPr="00057E28" w:rsidRDefault="000C6B4E" w:rsidP="001052AC">
      <w:pPr>
        <w:jc w:val="both"/>
      </w:pPr>
    </w:p>
    <w:p w14:paraId="1AD05987" w14:textId="038562EA" w:rsidR="007D40F4" w:rsidRPr="00057E28" w:rsidRDefault="007D40F4" w:rsidP="007D40F4">
      <w:pPr>
        <w:pStyle w:val="ACDBGBODYArial11"/>
        <w:spacing w:line="240" w:lineRule="auto"/>
        <w:rPr>
          <w:lang w:val="en-US"/>
        </w:rPr>
      </w:pPr>
      <w:r w:rsidRPr="00057E28">
        <w:rPr>
          <w:lang w:val="en-US"/>
        </w:rPr>
        <w:t xml:space="preserve">The Grant Recipient must facilitate contracting opportunities for Section 3 businesses, as well as minority-owned businesses and women-owned businesses by reporting the contracting opportunity to the following resources no later than the date of the first </w:t>
      </w:r>
      <w:r w:rsidR="00AB0E73" w:rsidRPr="00057E28">
        <w:rPr>
          <w:lang w:val="en-US"/>
        </w:rPr>
        <w:t>request for quotes</w:t>
      </w:r>
      <w:r w:rsidRPr="00057E28">
        <w:rPr>
          <w:lang w:val="en-US"/>
        </w:rPr>
        <w:t>:</w:t>
      </w:r>
    </w:p>
    <w:p w14:paraId="460756A0" w14:textId="30993EBF" w:rsidR="007D40F4" w:rsidRPr="00057E28" w:rsidRDefault="007D40F4" w:rsidP="005F4682">
      <w:pPr>
        <w:pStyle w:val="ACDBGBODYArial11"/>
        <w:numPr>
          <w:ilvl w:val="0"/>
          <w:numId w:val="37"/>
        </w:numPr>
        <w:spacing w:line="240" w:lineRule="auto"/>
        <w:rPr>
          <w:lang w:val="en-US"/>
        </w:rPr>
      </w:pPr>
      <w:r w:rsidRPr="00057E28">
        <w:rPr>
          <w:bCs/>
          <w:lang w:val="en-US"/>
        </w:rPr>
        <w:t>A</w:t>
      </w:r>
      <w:r w:rsidRPr="00057E28">
        <w:rPr>
          <w:bCs/>
        </w:rPr>
        <w:t>t least one organization providing access to and assistance with bid opportunities, particularly those that recognize small and disadvantaged businesses that are likely to include Section 3 Businesses</w:t>
      </w:r>
      <w:r w:rsidR="00A02E6A" w:rsidRPr="00057E28">
        <w:rPr>
          <w:bCs/>
          <w:lang w:val="en-US"/>
        </w:rPr>
        <w:t>. Retain screenshots or other confirmation to document compliance with this requirement.  Examples of acceptable organizations include</w:t>
      </w:r>
      <w:r w:rsidRPr="00057E28">
        <w:rPr>
          <w:bCs/>
        </w:rPr>
        <w:t>:</w:t>
      </w:r>
    </w:p>
    <w:p w14:paraId="22932184" w14:textId="77777777" w:rsidR="007D40F4" w:rsidRPr="00057E28" w:rsidRDefault="007D40F4" w:rsidP="005F4682">
      <w:pPr>
        <w:pStyle w:val="Default"/>
        <w:numPr>
          <w:ilvl w:val="2"/>
          <w:numId w:val="37"/>
        </w:numPr>
        <w:ind w:left="1440"/>
        <w:rPr>
          <w:color w:val="auto"/>
          <w:sz w:val="22"/>
          <w:szCs w:val="22"/>
        </w:rPr>
      </w:pPr>
      <w:r w:rsidRPr="00057E28">
        <w:rPr>
          <w:color w:val="auto"/>
          <w:sz w:val="22"/>
          <w:szCs w:val="22"/>
        </w:rPr>
        <w:t xml:space="preserve">Public/non-profit </w:t>
      </w:r>
      <w:proofErr w:type="gramStart"/>
      <w:r w:rsidRPr="00057E28">
        <w:rPr>
          <w:color w:val="auto"/>
          <w:sz w:val="22"/>
          <w:szCs w:val="22"/>
        </w:rPr>
        <w:t>organizations;</w:t>
      </w:r>
      <w:proofErr w:type="gramEnd"/>
      <w:r w:rsidRPr="00057E28">
        <w:rPr>
          <w:color w:val="auto"/>
          <w:sz w:val="22"/>
          <w:szCs w:val="22"/>
        </w:rPr>
        <w:t xml:space="preserve"> </w:t>
      </w:r>
    </w:p>
    <w:p w14:paraId="0179779C" w14:textId="77777777" w:rsidR="007D40F4" w:rsidRPr="00057E28" w:rsidRDefault="007D40F4" w:rsidP="005F4682">
      <w:pPr>
        <w:pStyle w:val="Default"/>
        <w:numPr>
          <w:ilvl w:val="2"/>
          <w:numId w:val="37"/>
        </w:numPr>
        <w:ind w:left="1440"/>
        <w:rPr>
          <w:color w:val="auto"/>
          <w:sz w:val="22"/>
          <w:szCs w:val="22"/>
        </w:rPr>
      </w:pPr>
      <w:r w:rsidRPr="00057E28">
        <w:rPr>
          <w:color w:val="auto"/>
          <w:sz w:val="22"/>
          <w:szCs w:val="22"/>
        </w:rPr>
        <w:t>Private plan rooms; or</w:t>
      </w:r>
    </w:p>
    <w:p w14:paraId="2BEE470F" w14:textId="77777777" w:rsidR="007D40F4" w:rsidRPr="00057E28" w:rsidRDefault="007D40F4" w:rsidP="005F4682">
      <w:pPr>
        <w:pStyle w:val="Default"/>
        <w:numPr>
          <w:ilvl w:val="2"/>
          <w:numId w:val="37"/>
        </w:numPr>
        <w:ind w:left="1440"/>
        <w:rPr>
          <w:bCs/>
          <w:color w:val="auto"/>
          <w:sz w:val="22"/>
          <w:szCs w:val="22"/>
        </w:rPr>
      </w:pPr>
      <w:r w:rsidRPr="00057E28">
        <w:rPr>
          <w:bCs/>
          <w:color w:val="auto"/>
          <w:sz w:val="22"/>
          <w:szCs w:val="22"/>
        </w:rPr>
        <w:t xml:space="preserve">Local Workforce Solutions Offices (WIOA One Stop Shop), if applicable, see </w:t>
      </w:r>
      <w:hyperlink r:id="rId17" w:history="1">
        <w:r w:rsidRPr="00057E28">
          <w:rPr>
            <w:rStyle w:val="Hyperlink"/>
            <w:bCs/>
            <w:color w:val="auto"/>
            <w:sz w:val="22"/>
            <w:szCs w:val="22"/>
          </w:rPr>
          <w:t>https://www.twc.texas.gov/directory-workforce-solutions-offices-services</w:t>
        </w:r>
      </w:hyperlink>
      <w:r w:rsidRPr="00057E28">
        <w:rPr>
          <w:bCs/>
          <w:color w:val="auto"/>
          <w:sz w:val="22"/>
          <w:szCs w:val="22"/>
        </w:rPr>
        <w:t>.</w:t>
      </w:r>
    </w:p>
    <w:p w14:paraId="2626B555" w14:textId="64C3F0E5" w:rsidR="007D40F4" w:rsidRPr="00057E28" w:rsidRDefault="007D40F4" w:rsidP="005F4682">
      <w:pPr>
        <w:pStyle w:val="Default"/>
        <w:numPr>
          <w:ilvl w:val="0"/>
          <w:numId w:val="37"/>
        </w:numPr>
        <w:rPr>
          <w:bCs/>
          <w:color w:val="auto"/>
          <w:sz w:val="22"/>
          <w:szCs w:val="22"/>
        </w:rPr>
      </w:pPr>
      <w:r w:rsidRPr="00057E28">
        <w:rPr>
          <w:bCs/>
          <w:color w:val="auto"/>
          <w:sz w:val="22"/>
          <w:szCs w:val="22"/>
        </w:rPr>
        <w:t>TDA-GO Materials and Services Record Pre-Selection Clearance data including bid opening date – this data is made available to the public during the bid period.</w:t>
      </w:r>
    </w:p>
    <w:p w14:paraId="780A1202" w14:textId="77777777" w:rsidR="007D40F4" w:rsidRPr="00057E28" w:rsidRDefault="007D40F4" w:rsidP="001052AC">
      <w:pPr>
        <w:jc w:val="both"/>
      </w:pPr>
    </w:p>
    <w:p w14:paraId="7057532B" w14:textId="25365317" w:rsidR="00AB0E73" w:rsidRPr="00057E28" w:rsidRDefault="000C6B4E" w:rsidP="00AB0E73">
      <w:pPr>
        <w:pStyle w:val="ACDBGBODYArial11"/>
        <w:spacing w:line="240" w:lineRule="auto"/>
        <w:rPr>
          <w:lang w:val="en-US"/>
        </w:rPr>
      </w:pPr>
      <w:r w:rsidRPr="00057E28">
        <w:t xml:space="preserve">Although Grant Recipients are not directly responsible for meeting a specific minority business participation goal, TDA reports to HUD on the levels of MBE and WBE hiring under all TxCDBG </w:t>
      </w:r>
      <w:r w:rsidR="00446814" w:rsidRPr="00057E28">
        <w:rPr>
          <w:lang w:val="en-US"/>
        </w:rPr>
        <w:t>Grant Agreement</w:t>
      </w:r>
      <w:r w:rsidR="00323836" w:rsidRPr="00057E28">
        <w:rPr>
          <w:lang w:val="en-US"/>
        </w:rPr>
        <w:t>s</w:t>
      </w:r>
      <w:r w:rsidRPr="00057E28">
        <w:t>. For this reason, retain all efforts demonstrating encouragement of SBE, MBE, WBE, and Section 3 businesses.</w:t>
      </w:r>
      <w:r w:rsidR="00AB0E73" w:rsidRPr="00057E28">
        <w:rPr>
          <w:lang w:val="en-US"/>
        </w:rPr>
        <w:t xml:space="preserve"> TDA recommends requesting a quote from at least one firm or individual that meets the definition for SBE, MBE, WBE, or Section 3 businesses.</w:t>
      </w:r>
    </w:p>
    <w:p w14:paraId="271BCD42" w14:textId="77777777" w:rsidR="000C6B4E" w:rsidRDefault="000C6B4E" w:rsidP="009333F8">
      <w:pPr>
        <w:pStyle w:val="ACDBGBODYArial11"/>
        <w:spacing w:line="240" w:lineRule="auto"/>
      </w:pPr>
    </w:p>
    <w:p w14:paraId="709E29DA" w14:textId="77777777" w:rsidR="000C6B4E" w:rsidRPr="00FE6E46" w:rsidRDefault="000C6B4E" w:rsidP="009333F8">
      <w:pPr>
        <w:rPr>
          <w:b/>
          <w:bCs/>
        </w:rPr>
      </w:pPr>
      <w:r w:rsidRPr="00FE6E46">
        <w:rPr>
          <w:b/>
          <w:bCs/>
          <w:noProof/>
        </w:rPr>
        <w:t>Step 5. Evaluate Responses and Select the Lowest Quote</w:t>
      </w:r>
    </w:p>
    <w:p w14:paraId="7EB877F8" w14:textId="77777777" w:rsidR="000C6B4E" w:rsidRPr="00B472FD" w:rsidRDefault="000C6B4E" w:rsidP="001052AC">
      <w:pPr>
        <w:pStyle w:val="ACDBGBODYArial11"/>
        <w:spacing w:line="240" w:lineRule="auto"/>
      </w:pPr>
      <w:r w:rsidRPr="00B472FD">
        <w:t>The Grant Recipient must determine the lowest responsible, responsive vendor, based on the responses to the request for quotes. The Grant Recipient must not select a respondent that did not submit the lowest quote that met all established criteria.</w:t>
      </w:r>
    </w:p>
    <w:p w14:paraId="05DF54F7" w14:textId="77777777" w:rsidR="000C6B4E" w:rsidRPr="00F45E73" w:rsidRDefault="000C6B4E" w:rsidP="009333F8">
      <w:pPr>
        <w:pStyle w:val="ACDBGBODYArial11"/>
        <w:spacing w:line="240" w:lineRule="auto"/>
        <w:ind w:left="720"/>
        <w:rPr>
          <w:lang w:val="en-US"/>
        </w:rPr>
      </w:pPr>
    </w:p>
    <w:p w14:paraId="70DC8A80" w14:textId="77777777" w:rsidR="00947B9E" w:rsidRDefault="00947B9E" w:rsidP="009333F8">
      <w:pPr>
        <w:pStyle w:val="ACDBGBODYArial11"/>
        <w:spacing w:line="240" w:lineRule="auto"/>
        <w:rPr>
          <w:lang w:val="en-US"/>
        </w:rPr>
      </w:pPr>
      <w:r>
        <w:rPr>
          <w:lang w:val="en-US"/>
        </w:rPr>
        <w:t xml:space="preserve">After completing the steps listed in this section, the Grant Recipient must complete the steps listed in </w:t>
      </w:r>
      <w:r w:rsidRPr="0090789D">
        <w:rPr>
          <w:i/>
          <w:iCs/>
          <w:lang w:val="en-US"/>
        </w:rPr>
        <w:t>Section 5.5 Steps for Award and Contracting</w:t>
      </w:r>
      <w:r>
        <w:rPr>
          <w:lang w:val="en-US"/>
        </w:rPr>
        <w:t>.</w:t>
      </w:r>
    </w:p>
    <w:p w14:paraId="0C47B5A8" w14:textId="77777777" w:rsidR="002A7365" w:rsidRDefault="002A7365" w:rsidP="002A7365">
      <w:pPr>
        <w:pStyle w:val="BULLETS"/>
        <w:numPr>
          <w:ilvl w:val="0"/>
          <w:numId w:val="0"/>
        </w:numPr>
        <w:spacing w:line="240" w:lineRule="auto"/>
        <w:ind w:left="720" w:hanging="360"/>
      </w:pPr>
    </w:p>
    <w:p w14:paraId="61F10D40" w14:textId="1DEB0D17" w:rsidR="002A7365" w:rsidRPr="00777C0C" w:rsidRDefault="002A7365" w:rsidP="00777C0C">
      <w:pPr>
        <w:pStyle w:val="BULLETS"/>
        <w:numPr>
          <w:ilvl w:val="0"/>
          <w:numId w:val="0"/>
        </w:numPr>
        <w:spacing w:line="240" w:lineRule="auto"/>
        <w:rPr>
          <w:color w:val="2F5496" w:themeColor="accent1" w:themeShade="BF"/>
        </w:rPr>
      </w:pPr>
      <w:r w:rsidRPr="00777C0C">
        <w:rPr>
          <w:b/>
          <w:bCs/>
          <w:color w:val="2F5496" w:themeColor="accent1" w:themeShade="BF"/>
        </w:rPr>
        <w:t xml:space="preserve">NOTE: </w:t>
      </w:r>
      <w:r w:rsidRPr="00777C0C">
        <w:rPr>
          <w:color w:val="2F5496" w:themeColor="accent1" w:themeShade="BF"/>
        </w:rPr>
        <w:t>Unless otherwise approved in writing by TDA, all equipment purchased and/or included in the</w:t>
      </w:r>
      <w:r w:rsidR="00777C0C">
        <w:rPr>
          <w:color w:val="2F5496" w:themeColor="accent1" w:themeShade="BF"/>
        </w:rPr>
        <w:t xml:space="preserve"> </w:t>
      </w:r>
      <w:r w:rsidRPr="00777C0C">
        <w:rPr>
          <w:color w:val="2F5496" w:themeColor="accent1" w:themeShade="BF"/>
        </w:rPr>
        <w:t>TxCDBG grant agreement must be newly manufactured.  Purchase of</w:t>
      </w:r>
      <w:r w:rsidR="00F92DDD" w:rsidRPr="00777C0C">
        <w:rPr>
          <w:color w:val="2F5496" w:themeColor="accent1" w:themeShade="BF"/>
        </w:rPr>
        <w:t xml:space="preserve"> </w:t>
      </w:r>
      <w:r w:rsidRPr="00777C0C">
        <w:rPr>
          <w:color w:val="2F5496" w:themeColor="accent1" w:themeShade="BF"/>
        </w:rPr>
        <w:t>used</w:t>
      </w:r>
      <w:r w:rsidR="00F92DDD" w:rsidRPr="00777C0C">
        <w:rPr>
          <w:color w:val="2F5496" w:themeColor="accent1" w:themeShade="BF"/>
        </w:rPr>
        <w:t xml:space="preserve"> </w:t>
      </w:r>
      <w:r w:rsidRPr="00777C0C">
        <w:rPr>
          <w:color w:val="2F5496" w:themeColor="accent1" w:themeShade="BF"/>
        </w:rPr>
        <w:t>equipment will generally</w:t>
      </w:r>
      <w:r w:rsidR="00777C0C">
        <w:rPr>
          <w:color w:val="2F5496" w:themeColor="accent1" w:themeShade="BF"/>
        </w:rPr>
        <w:t xml:space="preserve"> </w:t>
      </w:r>
      <w:r w:rsidRPr="00777C0C">
        <w:rPr>
          <w:color w:val="2F5496" w:themeColor="accent1" w:themeShade="BF"/>
        </w:rPr>
        <w:t>not be approved unless the Grant Recipient demonstrates:</w:t>
      </w:r>
    </w:p>
    <w:p w14:paraId="0FCEBCAB" w14:textId="77777777" w:rsidR="002A7365" w:rsidRPr="00777C0C" w:rsidRDefault="002A7365" w:rsidP="002A7365">
      <w:pPr>
        <w:pStyle w:val="BULLETS"/>
        <w:numPr>
          <w:ilvl w:val="0"/>
          <w:numId w:val="39"/>
        </w:numPr>
        <w:spacing w:line="240" w:lineRule="auto"/>
        <w:rPr>
          <w:color w:val="2F5496" w:themeColor="accent1" w:themeShade="BF"/>
        </w:rPr>
      </w:pPr>
      <w:r w:rsidRPr="00777C0C">
        <w:rPr>
          <w:color w:val="2F5496" w:themeColor="accent1" w:themeShade="BF"/>
        </w:rPr>
        <w:t xml:space="preserve">The useful life of the used equipment is substantially </w:t>
      </w:r>
      <w:proofErr w:type="gramStart"/>
      <w:r w:rsidRPr="00777C0C">
        <w:rPr>
          <w:color w:val="2F5496" w:themeColor="accent1" w:themeShade="BF"/>
        </w:rPr>
        <w:t>similar to</w:t>
      </w:r>
      <w:proofErr w:type="gramEnd"/>
      <w:r w:rsidRPr="00777C0C">
        <w:rPr>
          <w:color w:val="2F5496" w:themeColor="accent1" w:themeShade="BF"/>
        </w:rPr>
        <w:t xml:space="preserve"> the useful life of an equivalent new unit; and </w:t>
      </w:r>
    </w:p>
    <w:p w14:paraId="33DC64CB" w14:textId="5F35B528" w:rsidR="002A7365" w:rsidRPr="00777C0C" w:rsidRDefault="002A7365" w:rsidP="002A7365">
      <w:pPr>
        <w:pStyle w:val="BULLETS"/>
        <w:numPr>
          <w:ilvl w:val="0"/>
          <w:numId w:val="39"/>
        </w:numPr>
        <w:spacing w:line="240" w:lineRule="auto"/>
        <w:rPr>
          <w:color w:val="2F5496" w:themeColor="accent1" w:themeShade="BF"/>
        </w:rPr>
      </w:pPr>
      <w:r w:rsidRPr="00777C0C">
        <w:rPr>
          <w:color w:val="2F5496" w:themeColor="accent1" w:themeShade="BF"/>
        </w:rPr>
        <w:t>A newly manufactured unit meeting the grant requirements is not available under reasonable conditions.</w:t>
      </w:r>
    </w:p>
    <w:p w14:paraId="07C4E541" w14:textId="77777777" w:rsidR="000C6B4E" w:rsidRDefault="000C6B4E" w:rsidP="009333F8">
      <w:pPr>
        <w:pStyle w:val="BULLETS"/>
        <w:numPr>
          <w:ilvl w:val="0"/>
          <w:numId w:val="0"/>
        </w:numPr>
        <w:spacing w:line="240" w:lineRule="auto"/>
        <w:ind w:left="720"/>
      </w:pPr>
    </w:p>
    <w:p w14:paraId="60C46A21" w14:textId="77777777" w:rsidR="000C6B4E" w:rsidRPr="00E45B41" w:rsidRDefault="000C6B4E" w:rsidP="009333F8">
      <w:pPr>
        <w:pStyle w:val="Heading2"/>
      </w:pPr>
      <w:bookmarkStart w:id="45" w:name="_Toc123110906"/>
      <w:bookmarkStart w:id="46" w:name="_Toc171786604"/>
      <w:bookmarkStart w:id="47" w:name="_Toc171786702"/>
      <w:r>
        <w:t>5.3.5</w:t>
      </w:r>
      <w:r w:rsidRPr="00E45B41">
        <w:t xml:space="preserve"> </w:t>
      </w:r>
      <w:r>
        <w:t>Micro-Purchases</w:t>
      </w:r>
      <w:bookmarkEnd w:id="45"/>
      <w:bookmarkEnd w:id="46"/>
      <w:bookmarkEnd w:id="47"/>
    </w:p>
    <w:p w14:paraId="6A284DE6" w14:textId="77777777" w:rsidR="000C6B4E" w:rsidRDefault="000C6B4E" w:rsidP="009333F8">
      <w:pPr>
        <w:jc w:val="both"/>
        <w:rPr>
          <w:sz w:val="20"/>
          <w:szCs w:val="20"/>
        </w:rPr>
      </w:pPr>
    </w:p>
    <w:p w14:paraId="27416F8F" w14:textId="2368BFB2" w:rsidR="000C6B4E" w:rsidRDefault="000C6B4E" w:rsidP="009333F8">
      <w:pPr>
        <w:jc w:val="both"/>
        <w:rPr>
          <w:rFonts w:cs="Arial"/>
          <w:szCs w:val="22"/>
        </w:rPr>
      </w:pPr>
      <w:r w:rsidRPr="009F079C">
        <w:rPr>
          <w:rFonts w:cs="Arial"/>
          <w:szCs w:val="22"/>
        </w:rPr>
        <w:t>For purchases of supplie</w:t>
      </w:r>
      <w:r>
        <w:rPr>
          <w:rFonts w:cs="Arial"/>
          <w:szCs w:val="22"/>
        </w:rPr>
        <w:t xml:space="preserve">s or services </w:t>
      </w:r>
      <w:r w:rsidRPr="00390852">
        <w:rPr>
          <w:rFonts w:cs="Arial"/>
          <w:szCs w:val="22"/>
        </w:rPr>
        <w:t>that are less than or equal to $2,000</w:t>
      </w:r>
      <w:r w:rsidRPr="0059353E">
        <w:rPr>
          <w:rFonts w:cs="Arial"/>
          <w:szCs w:val="22"/>
        </w:rPr>
        <w:t xml:space="preserve"> </w:t>
      </w:r>
      <w:r w:rsidRPr="00390852">
        <w:rPr>
          <w:rFonts w:cs="Arial"/>
          <w:szCs w:val="22"/>
        </w:rPr>
        <w:t>in the aggregate, the Grant Recipient may use processes that expedite the transaction and minimize</w:t>
      </w:r>
      <w:r w:rsidRPr="009F079C">
        <w:rPr>
          <w:rFonts w:cs="Arial"/>
          <w:szCs w:val="22"/>
        </w:rPr>
        <w:t xml:space="preserve"> the associated </w:t>
      </w:r>
      <w:r w:rsidR="00004A6A">
        <w:rPr>
          <w:rFonts w:cs="Arial"/>
          <w:szCs w:val="22"/>
        </w:rPr>
        <w:t>administration</w:t>
      </w:r>
      <w:r w:rsidRPr="009F079C">
        <w:rPr>
          <w:rFonts w:cs="Arial"/>
          <w:szCs w:val="22"/>
        </w:rPr>
        <w:t xml:space="preserve"> burden.  </w:t>
      </w:r>
    </w:p>
    <w:p w14:paraId="14619638" w14:textId="77777777" w:rsidR="000C6B4E" w:rsidRPr="009F079C" w:rsidRDefault="000C6B4E" w:rsidP="009333F8">
      <w:pPr>
        <w:jc w:val="both"/>
        <w:rPr>
          <w:rFonts w:cs="Arial"/>
          <w:szCs w:val="22"/>
        </w:rPr>
      </w:pPr>
    </w:p>
    <w:p w14:paraId="7ECCB0F1" w14:textId="77777777" w:rsidR="000C6B4E" w:rsidRPr="006307C8" w:rsidRDefault="000C6B4E" w:rsidP="009333F8">
      <w:pPr>
        <w:pStyle w:val="Arial11BOLD"/>
      </w:pPr>
      <w:r w:rsidRPr="006307C8">
        <w:t>Step 1</w:t>
      </w:r>
      <w:r>
        <w:t xml:space="preserve">. </w:t>
      </w:r>
      <w:r w:rsidRPr="006307C8">
        <w:t>Identify Supplies or Services Needed</w:t>
      </w:r>
    </w:p>
    <w:p w14:paraId="0DACFC26" w14:textId="77777777" w:rsidR="000C6B4E" w:rsidRDefault="000C6B4E" w:rsidP="001052AC">
      <w:pPr>
        <w:pStyle w:val="ACDBGBODYArial11"/>
        <w:spacing w:line="240" w:lineRule="auto"/>
      </w:pPr>
      <w:r>
        <w:t>The Grant Recipient should identify all supplies or materials that were not procured as part of the larger project. Local records must indicate the justification for not including these supplies or services with competitive procurement actions. All micro-purchases for the TxCDBG project must not exceed $2,000 cumulatively.</w:t>
      </w:r>
    </w:p>
    <w:p w14:paraId="4051F52D" w14:textId="77777777" w:rsidR="000C6B4E" w:rsidRDefault="000C6B4E" w:rsidP="001052AC">
      <w:pPr>
        <w:pStyle w:val="ACDBGBODYArial11"/>
        <w:spacing w:line="240" w:lineRule="auto"/>
      </w:pPr>
    </w:p>
    <w:p w14:paraId="2337A21B" w14:textId="77777777" w:rsidR="000C6B4E" w:rsidRPr="009F079C" w:rsidRDefault="000C6B4E" w:rsidP="009333F8">
      <w:pPr>
        <w:pStyle w:val="Arial11BOLD"/>
      </w:pPr>
      <w:r>
        <w:t>Step 2. Identify a Vendor or Supplier to Meet the Need</w:t>
      </w:r>
    </w:p>
    <w:p w14:paraId="2852A8B9" w14:textId="0D4F488C" w:rsidR="000C6B4E" w:rsidRPr="00057E28" w:rsidRDefault="000C6B4E" w:rsidP="001052AC">
      <w:pPr>
        <w:pStyle w:val="ACDBGBODYArial11"/>
        <w:spacing w:line="240" w:lineRule="auto"/>
      </w:pPr>
      <w:r w:rsidRPr="009F079C">
        <w:t xml:space="preserve">The </w:t>
      </w:r>
      <w:r>
        <w:t>micro-</w:t>
      </w:r>
      <w:r w:rsidRPr="009F079C">
        <w:t>purchase orders may be awarded without soliciting any competitive quotations if the Grant Recipient considers the costs to be reasonable</w:t>
      </w:r>
      <w:r>
        <w:t xml:space="preserve"> and local laws and policies do not prohibit this method of procurement</w:t>
      </w:r>
      <w:r w:rsidRPr="00C279CD">
        <w:t xml:space="preserve">; </w:t>
      </w:r>
      <w:r w:rsidRPr="00057E28">
        <w:t xml:space="preserve">however, the use of purchase orders does not exempt the Grant Recipient from </w:t>
      </w:r>
      <w:r w:rsidRPr="00057E28">
        <w:rPr>
          <w:rStyle w:val="Hyperlink"/>
          <w:color w:val="auto"/>
          <w:u w:val="none"/>
        </w:rPr>
        <w:t>the</w:t>
      </w:r>
      <w:r w:rsidRPr="00057E28">
        <w:t xml:space="preserve"> requirements of </w:t>
      </w:r>
      <w:r w:rsidRPr="00057E28">
        <w:rPr>
          <w:i/>
          <w:iCs/>
        </w:rPr>
        <w:t>Section 5.5 Awards and Contracting</w:t>
      </w:r>
      <w:r w:rsidRPr="00057E28">
        <w:t xml:space="preserve">. The Grant Recipient is required to distribute micro-purchases equitably among qualified suppliers.  </w:t>
      </w:r>
      <w:r w:rsidR="00AB0E73" w:rsidRPr="00057E28">
        <w:rPr>
          <w:lang w:val="en-US"/>
        </w:rPr>
        <w:t>TDA recommends including at least one firm or individual that meets the definition for SBE, MBE, WBE, or Section 3 businesses in the micro-purchase process.</w:t>
      </w:r>
    </w:p>
    <w:p w14:paraId="00FA01AC" w14:textId="77777777" w:rsidR="000C6B4E" w:rsidRPr="00057E28" w:rsidRDefault="000C6B4E" w:rsidP="001052AC">
      <w:pPr>
        <w:pStyle w:val="ACDBGBODYArial11"/>
        <w:spacing w:line="240" w:lineRule="auto"/>
      </w:pPr>
      <w:r w:rsidRPr="00057E28">
        <w:rPr>
          <w:b/>
          <w:bCs/>
        </w:rPr>
        <w:t>EXAMPLE</w:t>
      </w:r>
      <w:r w:rsidRPr="00057E28">
        <w:t>: Purchase of signage in the amount of $1,500 can be treated as a micro-purchase. No competitive quotations would be necessary for the purchase and a price analysis would not be required. However, the Grant Recipient must consider whether to make the purchase from any one of several sign stores. Grant Recipients may require that the purchase of signage rotate among qualified suppliers if they offer the same rates.</w:t>
      </w:r>
    </w:p>
    <w:p w14:paraId="121ECBCD" w14:textId="77777777" w:rsidR="000C6B4E" w:rsidRPr="00057E28" w:rsidRDefault="000C6B4E" w:rsidP="001052AC">
      <w:pPr>
        <w:pStyle w:val="ACDBGBODYArial11"/>
        <w:spacing w:line="240" w:lineRule="auto"/>
      </w:pPr>
    </w:p>
    <w:p w14:paraId="427D204F" w14:textId="2350EE5B" w:rsidR="000C6B4E" w:rsidRPr="00057E28" w:rsidRDefault="000C6B4E" w:rsidP="009333F8">
      <w:pPr>
        <w:pStyle w:val="ACDBGBODYArial11"/>
        <w:spacing w:line="240" w:lineRule="auto"/>
        <w:rPr>
          <w:lang w:val="en-US"/>
        </w:rPr>
      </w:pPr>
      <w:r w:rsidRPr="00057E28">
        <w:rPr>
          <w:lang w:val="en-US"/>
        </w:rPr>
        <w:t xml:space="preserve">No MSR entry is required for Micro-purchases; record the amount and purpose of each micro-purchase on the TDA-GO </w:t>
      </w:r>
      <w:r w:rsidRPr="00057E28">
        <w:rPr>
          <w:i/>
          <w:iCs/>
          <w:lang w:val="en-US"/>
        </w:rPr>
        <w:t>Grant Overview</w:t>
      </w:r>
      <w:r w:rsidRPr="00057E28">
        <w:rPr>
          <w:lang w:val="en-US"/>
        </w:rPr>
        <w:t xml:space="preserve"> page.</w:t>
      </w:r>
    </w:p>
    <w:p w14:paraId="554D5BD0" w14:textId="77777777" w:rsidR="000C6B4E" w:rsidRPr="00057E28" w:rsidRDefault="000C6B4E" w:rsidP="009333F8">
      <w:pPr>
        <w:pStyle w:val="ACDBGBODYArial11"/>
        <w:spacing w:line="240" w:lineRule="auto"/>
        <w:rPr>
          <w:lang w:val="en-US"/>
        </w:rPr>
      </w:pPr>
    </w:p>
    <w:p w14:paraId="13C82C4F" w14:textId="7DDC22F7" w:rsidR="000C6B4E" w:rsidRPr="00057E28" w:rsidRDefault="000C6B4E" w:rsidP="009333F8">
      <w:pPr>
        <w:pStyle w:val="ACDBGBODYArial11"/>
        <w:spacing w:line="240" w:lineRule="auto"/>
      </w:pPr>
      <w:r w:rsidRPr="00057E28">
        <w:t xml:space="preserve">TDA will monitor the use of micro-purchases to ensure that they are not being used to circumvent competitive procurement. Materials and construction should be purchased through </w:t>
      </w:r>
      <w:r w:rsidR="00017B6F" w:rsidRPr="00057E28">
        <w:t xml:space="preserve">sealed bids </w:t>
      </w:r>
      <w:r w:rsidRPr="00057E28">
        <w:t xml:space="preserve">or </w:t>
      </w:r>
      <w:r w:rsidR="00017B6F" w:rsidRPr="00057E28">
        <w:t xml:space="preserve">small purchase </w:t>
      </w:r>
      <w:r w:rsidRPr="00057E28">
        <w:t xml:space="preserve">procurement whenever possible; micro-purchases are generally made for unanticipated costs.  </w:t>
      </w:r>
    </w:p>
    <w:p w14:paraId="01587BD7" w14:textId="57BA4ADB" w:rsidR="000C6B4E" w:rsidRPr="00057E28" w:rsidRDefault="000C6B4E" w:rsidP="009333F8">
      <w:pPr>
        <w:jc w:val="both"/>
        <w:rPr>
          <w:rFonts w:cs="Arial"/>
          <w:szCs w:val="22"/>
        </w:rPr>
      </w:pPr>
    </w:p>
    <w:p w14:paraId="6CB984BD" w14:textId="44077FC0" w:rsidR="002A0751" w:rsidRPr="00057E28" w:rsidRDefault="00947B9E" w:rsidP="005F4682">
      <w:pPr>
        <w:pStyle w:val="ACDBGBODYArial11"/>
        <w:numPr>
          <w:ilvl w:val="0"/>
          <w:numId w:val="36"/>
        </w:numPr>
        <w:spacing w:line="240" w:lineRule="auto"/>
        <w:rPr>
          <w:lang w:val="en-US"/>
        </w:rPr>
      </w:pPr>
      <w:r w:rsidRPr="00057E28">
        <w:rPr>
          <w:lang w:val="en-US"/>
        </w:rPr>
        <w:t xml:space="preserve">After completing the steps listed in this section, the Grant Recipient must complete the steps listed in </w:t>
      </w:r>
      <w:r w:rsidRPr="00057E28">
        <w:rPr>
          <w:i/>
          <w:iCs/>
          <w:lang w:val="en-US"/>
        </w:rPr>
        <w:t>Section 5.5 Steps for Award and Contracting</w:t>
      </w:r>
      <w:r w:rsidRPr="00057E28">
        <w:rPr>
          <w:lang w:val="en-US"/>
        </w:rPr>
        <w:t>.</w:t>
      </w:r>
    </w:p>
    <w:p w14:paraId="3805A0A6" w14:textId="14268148" w:rsidR="00BA76B7" w:rsidRPr="00057E28" w:rsidRDefault="00BA76B7" w:rsidP="005F4682">
      <w:pPr>
        <w:pStyle w:val="ACDBGBODYArial11"/>
        <w:numPr>
          <w:ilvl w:val="0"/>
          <w:numId w:val="36"/>
        </w:numPr>
        <w:spacing w:line="240" w:lineRule="auto"/>
        <w:rPr>
          <w:lang w:val="en-US"/>
        </w:rPr>
      </w:pPr>
      <w:bookmarkStart w:id="48" w:name="_Hlk166857125"/>
      <w:r w:rsidRPr="00057E28">
        <w:rPr>
          <w:lang w:val="en-US"/>
        </w:rPr>
        <w:t>Exception: If local policy does not require action by the governing body to award a contract for a micro-purchase, Section 5.</w:t>
      </w:r>
      <w:r w:rsidR="00261F08" w:rsidRPr="00057E28">
        <w:rPr>
          <w:lang w:val="en-US"/>
        </w:rPr>
        <w:t>5</w:t>
      </w:r>
      <w:r w:rsidRPr="00057E28">
        <w:rPr>
          <w:lang w:val="en-US"/>
        </w:rPr>
        <w:t xml:space="preserve">.2 will not apply. </w:t>
      </w:r>
    </w:p>
    <w:bookmarkEnd w:id="48"/>
    <w:p w14:paraId="20D6A53A" w14:textId="77777777" w:rsidR="00947B9E" w:rsidRDefault="00947B9E" w:rsidP="009333F8">
      <w:pPr>
        <w:jc w:val="both"/>
        <w:rPr>
          <w:rFonts w:cs="Arial"/>
          <w:szCs w:val="22"/>
        </w:rPr>
      </w:pPr>
    </w:p>
    <w:p w14:paraId="3A938FDE" w14:textId="77777777" w:rsidR="000C6B4E" w:rsidRDefault="000C6B4E" w:rsidP="009333F8">
      <w:pPr>
        <w:jc w:val="both"/>
        <w:rPr>
          <w:rFonts w:cs="Arial"/>
          <w:szCs w:val="22"/>
        </w:rPr>
      </w:pPr>
    </w:p>
    <w:p w14:paraId="4A030A4C" w14:textId="77777777" w:rsidR="000C6B4E" w:rsidRPr="00E45B41" w:rsidRDefault="000C6B4E" w:rsidP="009333F8">
      <w:pPr>
        <w:pStyle w:val="Heading1"/>
      </w:pPr>
      <w:bookmarkStart w:id="49" w:name="_Toc123110907"/>
      <w:bookmarkStart w:id="50" w:name="_Toc171786605"/>
      <w:bookmarkStart w:id="51" w:name="_Toc171786703"/>
      <w:r w:rsidRPr="006307C8">
        <w:t>5.4 Non-Competitive Proposal Procurement</w:t>
      </w:r>
      <w:bookmarkEnd w:id="49"/>
      <w:bookmarkEnd w:id="50"/>
      <w:bookmarkEnd w:id="51"/>
    </w:p>
    <w:p w14:paraId="71AED1F5" w14:textId="77777777" w:rsidR="000C6B4E" w:rsidRDefault="000C6B4E" w:rsidP="009333F8">
      <w:pPr>
        <w:pStyle w:val="ACDBGBODYArial11"/>
        <w:spacing w:line="240" w:lineRule="auto"/>
      </w:pPr>
    </w:p>
    <w:p w14:paraId="5AB9A7BA" w14:textId="009D28CF" w:rsidR="000C6B4E" w:rsidRDefault="000C6B4E" w:rsidP="009333F8">
      <w:pPr>
        <w:pStyle w:val="ACDBGBODYArial11"/>
        <w:spacing w:line="240" w:lineRule="auto"/>
      </w:pPr>
      <w:r w:rsidRPr="00E45B41">
        <w:t xml:space="preserve">Non-competitive </w:t>
      </w:r>
      <w:r>
        <w:t>procurement</w:t>
      </w:r>
      <w:r>
        <w:rPr>
          <w:lang w:val="en-US"/>
        </w:rPr>
        <w:t xml:space="preserve"> </w:t>
      </w:r>
      <w:r w:rsidRPr="00E45B41">
        <w:t xml:space="preserve">may be used when the award of a contract is not feasible under small purchase, </w:t>
      </w:r>
      <w:r>
        <w:t>sealed</w:t>
      </w:r>
      <w:r w:rsidRPr="00E45B41">
        <w:t xml:space="preserve"> bid</w:t>
      </w:r>
      <w:r>
        <w:rPr>
          <w:lang w:val="en-US"/>
        </w:rPr>
        <w:t>,</w:t>
      </w:r>
      <w:r w:rsidRPr="00E45B41">
        <w:t xml:space="preserve"> or competitive </w:t>
      </w:r>
      <w:r>
        <w:t xml:space="preserve">proposal </w:t>
      </w:r>
      <w:r w:rsidRPr="00E45B41">
        <w:t>procedures. This may be due to single source availability or inadequate competitio</w:t>
      </w:r>
      <w:r>
        <w:rPr>
          <w:lang w:val="en-US"/>
        </w:rPr>
        <w:t>n</w:t>
      </w:r>
      <w:r w:rsidR="002C7A9B">
        <w:rPr>
          <w:lang w:val="en-US"/>
        </w:rPr>
        <w:t xml:space="preserve">, </w:t>
      </w:r>
      <w:r w:rsidRPr="00E45B41">
        <w:t xml:space="preserve">determined after solicitation of a number of sources. Non-competitive procurement is most often used for emergency situations and disaster projects. </w:t>
      </w:r>
    </w:p>
    <w:p w14:paraId="1F647100" w14:textId="77777777" w:rsidR="000C6B4E" w:rsidRPr="00E45B41" w:rsidRDefault="000C6B4E" w:rsidP="009333F8">
      <w:pPr>
        <w:pStyle w:val="ACDBGBODYArial11"/>
        <w:spacing w:line="240" w:lineRule="auto"/>
      </w:pPr>
    </w:p>
    <w:p w14:paraId="6B4FCC16" w14:textId="374D1090" w:rsidR="000C6B4E" w:rsidRPr="008A75F9" w:rsidRDefault="000C6B4E" w:rsidP="009333F8">
      <w:pPr>
        <w:pStyle w:val="ACDBGBODYArial11"/>
        <w:spacing w:line="240" w:lineRule="auto"/>
        <w:rPr>
          <w:lang w:val="en-US"/>
        </w:rPr>
      </w:pPr>
      <w:r w:rsidRPr="00A2019B">
        <w:rPr>
          <w:b/>
        </w:rPr>
        <w:t>Grant Recipients must receive prior approval from TDA before using non-competitive proposal procurement.</w:t>
      </w:r>
      <w:r w:rsidRPr="00A2019B">
        <w:t xml:space="preserve"> All requests for non-competitive procurement must be submitted in writing </w:t>
      </w:r>
      <w:r w:rsidR="00DA419C">
        <w:rPr>
          <w:lang w:val="en-US"/>
        </w:rPr>
        <w:t>to the a</w:t>
      </w:r>
      <w:r w:rsidR="00715FC8">
        <w:rPr>
          <w:lang w:val="en-US"/>
        </w:rPr>
        <w:t>ssigned</w:t>
      </w:r>
      <w:r w:rsidR="00DA419C">
        <w:rPr>
          <w:lang w:val="en-US"/>
        </w:rPr>
        <w:t xml:space="preserve"> TDA Grant Specialist, </w:t>
      </w:r>
      <w:r w:rsidRPr="00A2019B">
        <w:t>by the Grant Recipient.</w:t>
      </w:r>
      <w:r w:rsidR="00A65278">
        <w:rPr>
          <w:lang w:val="en-US"/>
        </w:rPr>
        <w:t xml:space="preserve"> </w:t>
      </w:r>
    </w:p>
    <w:p w14:paraId="6F5565F2" w14:textId="77777777" w:rsidR="000C6B4E" w:rsidRDefault="000C6B4E" w:rsidP="009333F8">
      <w:pPr>
        <w:pStyle w:val="ACDBGBODYArial11"/>
        <w:spacing w:line="240" w:lineRule="auto"/>
      </w:pPr>
    </w:p>
    <w:p w14:paraId="3A34DBCB" w14:textId="017EFAE1" w:rsidR="000C6B4E" w:rsidRPr="00C842FD" w:rsidRDefault="000C6B4E" w:rsidP="009333F8">
      <w:pPr>
        <w:pStyle w:val="ACDBGBODYArial11"/>
        <w:spacing w:line="240" w:lineRule="auto"/>
      </w:pPr>
      <w:r w:rsidRPr="00C842FD">
        <w:t>TDA will consider the use of non-competitive proposal procurement under the following situations</w:t>
      </w:r>
      <w:r w:rsidR="004F0E7F">
        <w:rPr>
          <w:lang w:val="en-US"/>
        </w:rPr>
        <w:t>:</w:t>
      </w:r>
      <w:r w:rsidR="002C7A9B">
        <w:rPr>
          <w:rStyle w:val="FootnoteReference"/>
        </w:rPr>
        <w:footnoteReference w:id="20"/>
      </w:r>
    </w:p>
    <w:p w14:paraId="18E0BD5C" w14:textId="77777777" w:rsidR="000C6B4E" w:rsidRPr="00C842FD" w:rsidRDefault="000C6B4E" w:rsidP="005F4682">
      <w:pPr>
        <w:pStyle w:val="BULLETS"/>
        <w:numPr>
          <w:ilvl w:val="0"/>
          <w:numId w:val="15"/>
        </w:numPr>
        <w:spacing w:line="240" w:lineRule="auto"/>
      </w:pPr>
      <w:r>
        <w:rPr>
          <w:b/>
          <w:bCs/>
        </w:rPr>
        <w:t>Sole</w:t>
      </w:r>
      <w:r w:rsidRPr="00A2019B">
        <w:rPr>
          <w:b/>
          <w:bCs/>
        </w:rPr>
        <w:t xml:space="preserve"> source</w:t>
      </w:r>
      <w:r>
        <w:rPr>
          <w:b/>
          <w:bCs/>
        </w:rPr>
        <w:t xml:space="preserve"> – </w:t>
      </w:r>
      <w:r>
        <w:t>T</w:t>
      </w:r>
      <w:r w:rsidRPr="00C842FD">
        <w:t xml:space="preserve">his method allows procurement through solicitation of a proposal from only one source when the item or service is only available from a single </w:t>
      </w:r>
      <w:proofErr w:type="gramStart"/>
      <w:r w:rsidRPr="00C842FD">
        <w:t>source;</w:t>
      </w:r>
      <w:proofErr w:type="gramEnd"/>
      <w:r w:rsidRPr="00C842FD">
        <w:t xml:space="preserve"> </w:t>
      </w:r>
    </w:p>
    <w:p w14:paraId="00CD3842" w14:textId="77777777" w:rsidR="000C6B4E" w:rsidRPr="00C842FD" w:rsidRDefault="000C6B4E" w:rsidP="005F4682">
      <w:pPr>
        <w:pStyle w:val="BULLETS"/>
        <w:numPr>
          <w:ilvl w:val="0"/>
          <w:numId w:val="15"/>
        </w:numPr>
        <w:spacing w:line="240" w:lineRule="auto"/>
      </w:pPr>
      <w:r w:rsidRPr="00A2019B">
        <w:rPr>
          <w:b/>
          <w:bCs/>
        </w:rPr>
        <w:t>Public urgency/emergency situations</w:t>
      </w:r>
      <w:r>
        <w:rPr>
          <w:b/>
          <w:bCs/>
        </w:rPr>
        <w:t xml:space="preserve"> – </w:t>
      </w:r>
      <w:r>
        <w:t>S</w:t>
      </w:r>
      <w:r w:rsidRPr="00C842FD">
        <w:t xml:space="preserve">tate laws generally allow noncompetitive negotiations in such cases where the urgency for carrying out the project will not permit delays caused by competitive advertising/solicitation. Grant Recipients requesting such exemptions are those typically funded under the State Urgent Need </w:t>
      </w:r>
      <w:r>
        <w:t xml:space="preserve">(SUN) </w:t>
      </w:r>
      <w:proofErr w:type="gramStart"/>
      <w:r w:rsidRPr="00C842FD">
        <w:t>Fund;</w:t>
      </w:r>
      <w:proofErr w:type="gramEnd"/>
    </w:p>
    <w:p w14:paraId="69537B8D" w14:textId="77777777" w:rsidR="00BF2A97" w:rsidRDefault="00BF2A97" w:rsidP="009333F8">
      <w:pPr>
        <w:pStyle w:val="BULLETS"/>
        <w:numPr>
          <w:ilvl w:val="0"/>
          <w:numId w:val="0"/>
        </w:numPr>
        <w:spacing w:line="240" w:lineRule="auto"/>
      </w:pPr>
    </w:p>
    <w:p w14:paraId="5BF3FA8A" w14:textId="0898CF40" w:rsidR="000C6B4E" w:rsidRDefault="000C6B4E" w:rsidP="009333F8">
      <w:pPr>
        <w:pStyle w:val="BULLETS"/>
        <w:numPr>
          <w:ilvl w:val="0"/>
          <w:numId w:val="0"/>
        </w:numPr>
        <w:spacing w:line="240" w:lineRule="auto"/>
      </w:pPr>
      <w:r w:rsidRPr="00C842FD">
        <w:t xml:space="preserve">The condition of bids being over budget alone does not create a qualifying condition </w:t>
      </w:r>
      <w:r>
        <w:t>of i</w:t>
      </w:r>
      <w:r w:rsidRPr="00C842FD">
        <w:t xml:space="preserve">nadequate competition or justification for non-competitive procurement. </w:t>
      </w:r>
      <w:r>
        <w:t xml:space="preserve">Grant Recipients must demonstrate multiple attempts to competitively procure the goods or services, including changes to specifications, project scope, timeline, or other constraints to address any barriers to participation, before TDA will consider approving non-competitive procurement under this provision. </w:t>
      </w:r>
    </w:p>
    <w:p w14:paraId="39DF73AD" w14:textId="77777777" w:rsidR="000C6B4E" w:rsidRDefault="000C6B4E" w:rsidP="009333F8">
      <w:pPr>
        <w:pStyle w:val="BULLETS"/>
        <w:numPr>
          <w:ilvl w:val="0"/>
          <w:numId w:val="0"/>
        </w:numPr>
        <w:spacing w:line="240" w:lineRule="auto"/>
        <w:ind w:left="720" w:hanging="360"/>
      </w:pPr>
    </w:p>
    <w:p w14:paraId="0337B98D" w14:textId="07DC394A" w:rsidR="004821CD" w:rsidRPr="005C2432" w:rsidRDefault="004821CD" w:rsidP="009333F8">
      <w:pPr>
        <w:pStyle w:val="ACDBGBODYArial11"/>
        <w:spacing w:line="240" w:lineRule="auto"/>
        <w:rPr>
          <w:lang w:val="en-US"/>
        </w:rPr>
      </w:pPr>
      <w:r>
        <w:rPr>
          <w:lang w:val="en-US"/>
        </w:rPr>
        <w:t xml:space="preserve">The Grant Recipient must complete the steps listed in </w:t>
      </w:r>
      <w:r w:rsidRPr="008A75F9">
        <w:rPr>
          <w:i/>
          <w:iCs/>
          <w:lang w:val="en-US"/>
        </w:rPr>
        <w:t>Section 5.5 Steps for Award and Contracting</w:t>
      </w:r>
      <w:r>
        <w:rPr>
          <w:lang w:val="en-US"/>
        </w:rPr>
        <w:t>.</w:t>
      </w:r>
    </w:p>
    <w:p w14:paraId="4C65763C" w14:textId="77777777" w:rsidR="000C6B4E" w:rsidRPr="00C842FD" w:rsidRDefault="000C6B4E" w:rsidP="009333F8">
      <w:pPr>
        <w:pStyle w:val="BULLETS"/>
        <w:numPr>
          <w:ilvl w:val="0"/>
          <w:numId w:val="0"/>
        </w:numPr>
        <w:spacing w:line="240" w:lineRule="auto"/>
        <w:ind w:left="720" w:hanging="360"/>
      </w:pPr>
    </w:p>
    <w:p w14:paraId="6B75B316" w14:textId="77777777" w:rsidR="000C6B4E" w:rsidRDefault="000C6B4E" w:rsidP="009333F8">
      <w:pPr>
        <w:pStyle w:val="ACDGBArial20Bold"/>
      </w:pPr>
      <w:bookmarkStart w:id="52" w:name="_Toc123110908"/>
      <w:bookmarkStart w:id="53" w:name="_Toc171786606"/>
      <w:bookmarkStart w:id="54" w:name="_Toc171786704"/>
      <w:r>
        <w:t>5.5 Steps for Award and Contracting</w:t>
      </w:r>
      <w:bookmarkEnd w:id="52"/>
      <w:bookmarkEnd w:id="53"/>
      <w:bookmarkEnd w:id="54"/>
    </w:p>
    <w:p w14:paraId="1D644449" w14:textId="77777777" w:rsidR="000C6B4E" w:rsidRDefault="000C6B4E" w:rsidP="009333F8"/>
    <w:p w14:paraId="2A9C7093" w14:textId="71A12CB8" w:rsidR="000C6B4E" w:rsidRPr="00057E28" w:rsidRDefault="000C6B4E" w:rsidP="009333F8">
      <w:pPr>
        <w:pStyle w:val="ACDBGBODYArial11"/>
        <w:spacing w:line="240" w:lineRule="auto"/>
      </w:pPr>
      <w:r w:rsidRPr="00057E28">
        <w:t>Regardless of the method of procurement or selection for a contractor or service provider, the Grant Recipient must complete the following steps for each purchase.</w:t>
      </w:r>
    </w:p>
    <w:p w14:paraId="4F3D8588" w14:textId="3F006CCD" w:rsidR="002A0751" w:rsidRPr="00057E28" w:rsidRDefault="002A0751" w:rsidP="009333F8">
      <w:pPr>
        <w:pStyle w:val="ACDBGBODYArial11"/>
        <w:spacing w:line="240" w:lineRule="auto"/>
      </w:pPr>
    </w:p>
    <w:p w14:paraId="0E5AD429" w14:textId="61C94186" w:rsidR="002A0751" w:rsidRPr="00057E28" w:rsidRDefault="002A0751" w:rsidP="009333F8">
      <w:pPr>
        <w:pStyle w:val="ACDBGBODYArial11"/>
        <w:spacing w:line="240" w:lineRule="auto"/>
        <w:rPr>
          <w:lang w:val="en-US"/>
        </w:rPr>
      </w:pPr>
      <w:r w:rsidRPr="00470FF4">
        <w:rPr>
          <w:b/>
          <w:bCs/>
          <w:lang w:val="en-US"/>
        </w:rPr>
        <w:t>NOTE</w:t>
      </w:r>
      <w:r w:rsidRPr="00057E28">
        <w:rPr>
          <w:lang w:val="en-US"/>
        </w:rPr>
        <w:t xml:space="preserve">: While the below requirements are applicable to all forms of procurement, please see the Micro-purchase specific requirements identified in </w:t>
      </w:r>
      <w:r w:rsidRPr="00057E28">
        <w:rPr>
          <w:i/>
          <w:iCs/>
          <w:lang w:val="en-US"/>
        </w:rPr>
        <w:t>Section</w:t>
      </w:r>
      <w:r w:rsidR="00E96FD1">
        <w:rPr>
          <w:i/>
          <w:iCs/>
          <w:lang w:val="en-US"/>
        </w:rPr>
        <w:t xml:space="preserve"> </w:t>
      </w:r>
      <w:r w:rsidRPr="00057E28">
        <w:rPr>
          <w:i/>
          <w:iCs/>
          <w:lang w:val="en-US"/>
        </w:rPr>
        <w:t xml:space="preserve">5.3.5 </w:t>
      </w:r>
      <w:r w:rsidRPr="00057E28">
        <w:rPr>
          <w:lang w:val="en-US"/>
        </w:rPr>
        <w:t xml:space="preserve">of this Chapter. </w:t>
      </w:r>
    </w:p>
    <w:p w14:paraId="2405933A" w14:textId="77777777" w:rsidR="000C6B4E" w:rsidRPr="00057E28" w:rsidRDefault="000C6B4E" w:rsidP="009333F8"/>
    <w:p w14:paraId="04EDEE18" w14:textId="77777777" w:rsidR="000C6B4E" w:rsidRPr="00057E28" w:rsidRDefault="000C6B4E" w:rsidP="009333F8">
      <w:pPr>
        <w:pStyle w:val="Heading2"/>
      </w:pPr>
      <w:bookmarkStart w:id="55" w:name="_Toc123110909"/>
      <w:bookmarkStart w:id="56" w:name="_Toc171786607"/>
      <w:bookmarkStart w:id="57" w:name="_Toc171786705"/>
      <w:r w:rsidRPr="00057E28">
        <w:t>5.5.1 SAM Clearance</w:t>
      </w:r>
      <w:bookmarkEnd w:id="55"/>
      <w:bookmarkEnd w:id="56"/>
      <w:bookmarkEnd w:id="57"/>
    </w:p>
    <w:p w14:paraId="36D3AFEA" w14:textId="77777777" w:rsidR="000C6B4E" w:rsidRPr="00057E28" w:rsidRDefault="000C6B4E" w:rsidP="009333F8"/>
    <w:p w14:paraId="72106964" w14:textId="77777777" w:rsidR="000C6B4E" w:rsidRPr="00057E28" w:rsidRDefault="000C6B4E" w:rsidP="009333F8">
      <w:pPr>
        <w:pStyle w:val="ACDBGBODYArial11"/>
        <w:spacing w:line="240" w:lineRule="auto"/>
      </w:pPr>
      <w:r w:rsidRPr="00057E28">
        <w:t>The Grant Recipient must verify the contractor</w:t>
      </w:r>
      <w:r w:rsidRPr="00057E28">
        <w:rPr>
          <w:lang w:val="en-US"/>
        </w:rPr>
        <w:t>/service provider</w:t>
      </w:r>
      <w:r w:rsidRPr="00057E28">
        <w:t xml:space="preserve">’s eligibility </w:t>
      </w:r>
      <w:r w:rsidRPr="00057E28">
        <w:rPr>
          <w:lang w:val="en-US"/>
        </w:rPr>
        <w:t xml:space="preserve">to participate in the federally-funded project </w:t>
      </w:r>
      <w:r w:rsidRPr="00057E28">
        <w:t>through the System for Award Management (</w:t>
      </w:r>
      <w:hyperlink r:id="rId18" w:history="1">
        <w:r w:rsidRPr="00057E28">
          <w:rPr>
            <w:rStyle w:val="Hyperlink"/>
            <w:color w:val="auto"/>
          </w:rPr>
          <w:t>www.SAM.gov</w:t>
        </w:r>
      </w:hyperlink>
      <w:r w:rsidRPr="00057E28">
        <w:t>).</w:t>
      </w:r>
      <w:r w:rsidRPr="00057E28">
        <w:rPr>
          <w:lang w:val="en-US"/>
        </w:rPr>
        <w:t xml:space="preserve"> </w:t>
      </w:r>
      <w:r w:rsidRPr="00057E28">
        <w:t>The Grant Recipient must verify that the contractor is neither debarred, suspended, or otherwise excluded. Record this verification with a dated screen shot for the Grant Recipient’s records. Eligibility of all contractors</w:t>
      </w:r>
      <w:r w:rsidRPr="00057E28">
        <w:rPr>
          <w:lang w:val="en-US"/>
        </w:rPr>
        <w:t>/service providers</w:t>
      </w:r>
      <w:r w:rsidRPr="00057E28">
        <w:t xml:space="preserve"> must be verified through the SAM website prior to any formal action authorizing the award of the contract to the contractor</w:t>
      </w:r>
      <w:r w:rsidRPr="00057E28">
        <w:rPr>
          <w:lang w:val="en-US"/>
        </w:rPr>
        <w:t>/service provider</w:t>
      </w:r>
      <w:r w:rsidRPr="00057E28">
        <w:t>. Examples of formal action include, but are not limited to, authorizing resolution, authorizing ordinance, council approval of award, contract execution, etc.</w:t>
      </w:r>
    </w:p>
    <w:p w14:paraId="7AA802CE" w14:textId="77777777" w:rsidR="000C6B4E" w:rsidRPr="00057E28" w:rsidRDefault="000C6B4E" w:rsidP="009333F8">
      <w:pPr>
        <w:pStyle w:val="ACDBGBODYArial11"/>
        <w:spacing w:line="240" w:lineRule="auto"/>
        <w:ind w:left="720"/>
      </w:pPr>
    </w:p>
    <w:p w14:paraId="27B25537" w14:textId="7CAE57AF" w:rsidR="002C7A9B" w:rsidRPr="00057E28" w:rsidRDefault="000C6B4E" w:rsidP="009333F8">
      <w:pPr>
        <w:pStyle w:val="ACDBGBODYArial11"/>
        <w:spacing w:line="240" w:lineRule="auto"/>
      </w:pPr>
      <w:r w:rsidRPr="00057E28">
        <w:rPr>
          <w:lang w:val="en-US"/>
        </w:rPr>
        <w:t xml:space="preserve">Update the MSR with </w:t>
      </w:r>
      <w:r w:rsidRPr="00057E28">
        <w:rPr>
          <w:spacing w:val="1"/>
          <w:lang w:val="en-US"/>
        </w:rPr>
        <w:t>SAM clearance information and screen shot</w:t>
      </w:r>
      <w:r w:rsidRPr="00057E28">
        <w:rPr>
          <w:lang w:val="en-US"/>
        </w:rPr>
        <w:t xml:space="preserve">. </w:t>
      </w:r>
      <w:r w:rsidR="002C7A9B" w:rsidRPr="00057E28">
        <w:t>Detailed step-by-step instructions for completing and submitting an MSR in TDA-GO may be found on the TDA website.</w:t>
      </w:r>
    </w:p>
    <w:p w14:paraId="3ED0F9E2" w14:textId="77777777" w:rsidR="000C6B4E" w:rsidRPr="00057E28" w:rsidRDefault="000C6B4E" w:rsidP="009333F8"/>
    <w:p w14:paraId="720F3388" w14:textId="77777777" w:rsidR="000C6B4E" w:rsidRPr="00057E28" w:rsidRDefault="000C6B4E" w:rsidP="009333F8">
      <w:pPr>
        <w:pStyle w:val="Heading2"/>
      </w:pPr>
      <w:bookmarkStart w:id="58" w:name="_Toc123110910"/>
      <w:bookmarkStart w:id="59" w:name="_Toc171786608"/>
      <w:bookmarkStart w:id="60" w:name="_Toc171786706"/>
      <w:r w:rsidRPr="00057E28">
        <w:t>5.5.2 Award by Governing Body</w:t>
      </w:r>
      <w:bookmarkEnd w:id="58"/>
      <w:bookmarkEnd w:id="59"/>
      <w:bookmarkEnd w:id="60"/>
    </w:p>
    <w:p w14:paraId="4C38DFD7" w14:textId="77777777" w:rsidR="000C6B4E" w:rsidRPr="00057E28" w:rsidRDefault="000C6B4E" w:rsidP="009333F8"/>
    <w:p w14:paraId="3CF029A0" w14:textId="77777777" w:rsidR="000C6B4E" w:rsidRPr="00057E28" w:rsidRDefault="000C6B4E" w:rsidP="009333F8">
      <w:pPr>
        <w:pStyle w:val="ACDBGBODYArial11"/>
        <w:spacing w:line="240" w:lineRule="auto"/>
      </w:pPr>
      <w:r w:rsidRPr="00057E28">
        <w:t>The Grant Recipient’s governing body must award the contract(s) to the selected contractor/service provider.</w:t>
      </w:r>
    </w:p>
    <w:p w14:paraId="6479B5E4" w14:textId="3F815B16" w:rsidR="000C6B4E" w:rsidRPr="00057E28" w:rsidRDefault="000C6B4E" w:rsidP="005F4682">
      <w:pPr>
        <w:pStyle w:val="BULLETS"/>
        <w:numPr>
          <w:ilvl w:val="0"/>
          <w:numId w:val="14"/>
        </w:numPr>
        <w:spacing w:line="240" w:lineRule="auto"/>
      </w:pPr>
      <w:r w:rsidRPr="00057E28">
        <w:rPr>
          <w:b/>
          <w:bCs/>
        </w:rPr>
        <w:t>Competitive Proposals Only</w:t>
      </w:r>
      <w:r w:rsidRPr="00057E28">
        <w:t xml:space="preserve"> – The local governing body has the final authority to award contracts. The local governing body is encouraged to follow the committee’s recommendation</w:t>
      </w:r>
      <w:r w:rsidR="00A83511" w:rsidRPr="00057E28">
        <w:t xml:space="preserve"> but may select another Respondent if the minutes of the local governing body meeting include justification for the selection</w:t>
      </w:r>
      <w:r w:rsidRPr="00057E28">
        <w:t>.</w:t>
      </w:r>
    </w:p>
    <w:p w14:paraId="2C43D2B5" w14:textId="7B8BA02E" w:rsidR="000C6B4E" w:rsidRDefault="000C6B4E" w:rsidP="005F4682">
      <w:pPr>
        <w:pStyle w:val="BULLETS"/>
        <w:numPr>
          <w:ilvl w:val="0"/>
          <w:numId w:val="14"/>
        </w:numPr>
        <w:spacing w:line="240" w:lineRule="auto"/>
      </w:pPr>
      <w:r w:rsidRPr="00057E28">
        <w:rPr>
          <w:b/>
          <w:bCs/>
        </w:rPr>
        <w:t>Sealed Bids and Small Purchase Only</w:t>
      </w:r>
      <w:r w:rsidRPr="00057E28">
        <w:t xml:space="preserve"> – The Grant Recipient must award the contract to the lowest appropriate bidder. </w:t>
      </w:r>
      <w:r w:rsidR="00C72AAB" w:rsidRPr="00057E28">
        <w:t>The award amount must equa</w:t>
      </w:r>
      <w:r w:rsidR="004C1AE7" w:rsidRPr="00057E28">
        <w:t>l</w:t>
      </w:r>
      <w:r w:rsidR="00C72AAB" w:rsidRPr="00057E28">
        <w:t xml:space="preserve"> the amount of the bid, including any bid alternates awarded.  </w:t>
      </w:r>
      <w:r w:rsidRPr="00057E28">
        <w:t xml:space="preserve">If the contract is awarded to a bidder that does not </w:t>
      </w:r>
      <w:r w:rsidRPr="003B4274">
        <w:t>propose the lowest price, the Grant Recipient must document the decision in compliance with Texas Loca</w:t>
      </w:r>
      <w:r>
        <w:t xml:space="preserve">l </w:t>
      </w:r>
      <w:r w:rsidRPr="003B4274">
        <w:t>Government Code</w:t>
      </w:r>
      <w:r w:rsidR="002C7A9B">
        <w:t>.</w:t>
      </w:r>
      <w:r w:rsidR="002C7A9B">
        <w:rPr>
          <w:rStyle w:val="FootnoteReference"/>
        </w:rPr>
        <w:footnoteReference w:id="21"/>
      </w:r>
      <w:r w:rsidRPr="003B4274">
        <w:t xml:space="preserve"> </w:t>
      </w:r>
    </w:p>
    <w:p w14:paraId="40F72C4A" w14:textId="77777777" w:rsidR="000C6B4E" w:rsidRDefault="000C6B4E" w:rsidP="009333F8"/>
    <w:p w14:paraId="31E87C4E" w14:textId="7EFCE425" w:rsidR="002C7A9B" w:rsidRDefault="000C6B4E" w:rsidP="009333F8">
      <w:pPr>
        <w:pStyle w:val="ACDBGBODYArial11"/>
        <w:spacing w:line="240" w:lineRule="auto"/>
      </w:pPr>
      <w:r>
        <w:rPr>
          <w:lang w:val="en-US"/>
        </w:rPr>
        <w:t xml:space="preserve">Update the MSR with </w:t>
      </w:r>
      <w:r>
        <w:rPr>
          <w:spacing w:val="1"/>
          <w:lang w:val="en-US"/>
        </w:rPr>
        <w:t>contract award information</w:t>
      </w:r>
      <w:r>
        <w:rPr>
          <w:lang w:val="en-US"/>
        </w:rPr>
        <w:t xml:space="preserve">. </w:t>
      </w:r>
      <w:r w:rsidR="002C7A9B">
        <w:t>Detailed step-by-step instructions for completing and submitting an MSR in TDA-GO may be found on the TDA website.</w:t>
      </w:r>
    </w:p>
    <w:p w14:paraId="6BD08B2E" w14:textId="77777777" w:rsidR="002C7A9B" w:rsidRPr="000B4E11" w:rsidRDefault="002C7A9B" w:rsidP="009333F8"/>
    <w:p w14:paraId="17FF0209" w14:textId="77777777" w:rsidR="000C6B4E" w:rsidRPr="00946EA0" w:rsidRDefault="000C6B4E" w:rsidP="009333F8">
      <w:pPr>
        <w:pStyle w:val="Heading2"/>
      </w:pPr>
      <w:bookmarkStart w:id="61" w:name="_Toc123110911"/>
      <w:bookmarkStart w:id="62" w:name="_Toc171786609"/>
      <w:bookmarkStart w:id="63" w:name="_Toc171786707"/>
      <w:r>
        <w:t>5.5.3 Prepare and Execute Contract/Agreement</w:t>
      </w:r>
      <w:bookmarkEnd w:id="61"/>
      <w:bookmarkEnd w:id="62"/>
      <w:bookmarkEnd w:id="63"/>
    </w:p>
    <w:p w14:paraId="2CFDE0D2" w14:textId="77777777" w:rsidR="000C6B4E" w:rsidRDefault="000C6B4E" w:rsidP="009333F8">
      <w:pPr>
        <w:pStyle w:val="ACDBGBODYArial11"/>
        <w:spacing w:line="240" w:lineRule="auto"/>
      </w:pPr>
    </w:p>
    <w:p w14:paraId="22A6B20E" w14:textId="7D9CB431" w:rsidR="000C6B4E" w:rsidRDefault="000C6B4E" w:rsidP="009333F8">
      <w:pPr>
        <w:pStyle w:val="ACDBGBODYArial11"/>
        <w:spacing w:line="240" w:lineRule="auto"/>
        <w:rPr>
          <w:lang w:val="en-US"/>
        </w:rPr>
      </w:pPr>
      <w:r w:rsidRPr="00696729">
        <w:t xml:space="preserve">Regardless of the type of procurement used, the Grant </w:t>
      </w:r>
      <w:r>
        <w:rPr>
          <w:lang w:val="en-US"/>
        </w:rPr>
        <w:t>Recipient</w:t>
      </w:r>
      <w:r w:rsidRPr="00696729">
        <w:t xml:space="preserve"> must execute a contract to document the </w:t>
      </w:r>
      <w:r>
        <w:rPr>
          <w:lang w:val="en-US"/>
        </w:rPr>
        <w:t>goods and/or services to be purchased</w:t>
      </w:r>
      <w:r w:rsidRPr="00696729">
        <w:t xml:space="preserve">, the agreed </w:t>
      </w:r>
      <w:r>
        <w:rPr>
          <w:lang w:val="en-US"/>
        </w:rPr>
        <w:t xml:space="preserve">upon </w:t>
      </w:r>
      <w:r w:rsidRPr="00696729">
        <w:t xml:space="preserve">price, and </w:t>
      </w:r>
      <w:r>
        <w:rPr>
          <w:lang w:val="en-US"/>
        </w:rPr>
        <w:t xml:space="preserve">the </w:t>
      </w:r>
      <w:r w:rsidRPr="00696729">
        <w:t>contractor</w:t>
      </w:r>
      <w:r>
        <w:rPr>
          <w:lang w:val="en-US"/>
        </w:rPr>
        <w:t>’s</w:t>
      </w:r>
      <w:r w:rsidRPr="00696729">
        <w:t xml:space="preserve"> or </w:t>
      </w:r>
      <w:r>
        <w:rPr>
          <w:lang w:val="en-US"/>
        </w:rPr>
        <w:t>supplier</w:t>
      </w:r>
      <w:r w:rsidRPr="00696729">
        <w:t xml:space="preserve">’s </w:t>
      </w:r>
      <w:r>
        <w:rPr>
          <w:lang w:val="en-US"/>
        </w:rPr>
        <w:t>mandatory</w:t>
      </w:r>
      <w:r w:rsidRPr="00696729">
        <w:t xml:space="preserve"> compliance with all applicable state and federal requirements</w:t>
      </w:r>
      <w:r>
        <w:rPr>
          <w:lang w:val="en-US"/>
        </w:rPr>
        <w:t>. If the Grant Recipient uses a purchase order in lieu of a contract, it must similarly document goods, services, price, and all programmatically required provisions.</w:t>
      </w:r>
    </w:p>
    <w:p w14:paraId="39915BE5" w14:textId="77777777" w:rsidR="000C6B4E" w:rsidRDefault="000C6B4E" w:rsidP="009333F8">
      <w:pPr>
        <w:pStyle w:val="ACDBGBODYArial11"/>
        <w:spacing w:line="240" w:lineRule="auto"/>
      </w:pPr>
      <w:r w:rsidRPr="006307C8">
        <w:rPr>
          <w:b/>
          <w:bCs/>
          <w:lang w:val="en-US"/>
        </w:rPr>
        <w:t>NOTE:</w:t>
      </w:r>
      <w:r>
        <w:rPr>
          <w:lang w:val="en-US"/>
        </w:rPr>
        <w:t xml:space="preserve"> The amount of the contract </w:t>
      </w:r>
      <w:r>
        <w:rPr>
          <w:b/>
          <w:bCs/>
          <w:lang w:val="en-US"/>
        </w:rPr>
        <w:t>must</w:t>
      </w:r>
      <w:r>
        <w:rPr>
          <w:lang w:val="en-US"/>
        </w:rPr>
        <w:t xml:space="preserve"> exactly match the amount awarded by the local governing body.</w:t>
      </w:r>
    </w:p>
    <w:p w14:paraId="187F2E0B" w14:textId="77777777" w:rsidR="000C6B4E" w:rsidRDefault="000C6B4E" w:rsidP="009333F8">
      <w:pPr>
        <w:pStyle w:val="ACDBGBODYArial11"/>
        <w:spacing w:line="240" w:lineRule="auto"/>
      </w:pPr>
    </w:p>
    <w:p w14:paraId="62162B45" w14:textId="77777777" w:rsidR="000C6B4E" w:rsidRDefault="000C6B4E" w:rsidP="009333F8">
      <w:pPr>
        <w:pStyle w:val="ACDBGBODYArial11"/>
        <w:spacing w:line="240" w:lineRule="auto"/>
      </w:pPr>
      <w:r w:rsidRPr="008074B3">
        <w:t>In all contracts, Grant Recipients and contractors must specifically refer to the project or provide detailed information regarding the work being funded.</w:t>
      </w:r>
      <w:r>
        <w:t xml:space="preserve"> </w:t>
      </w:r>
      <w:r w:rsidRPr="00A47F77">
        <w:rPr>
          <w:lang w:val="en-US"/>
        </w:rPr>
        <w:t xml:space="preserve">The </w:t>
      </w:r>
      <w:r>
        <w:rPr>
          <w:lang w:val="en-US"/>
        </w:rPr>
        <w:t xml:space="preserve">following </w:t>
      </w:r>
      <w:r w:rsidRPr="006D01B3">
        <w:t>append</w:t>
      </w:r>
      <w:r w:rsidRPr="006D01B3">
        <w:rPr>
          <w:lang w:val="en-US"/>
        </w:rPr>
        <w:t>ices</w:t>
      </w:r>
      <w:r>
        <w:rPr>
          <w:b/>
          <w:bCs/>
          <w:lang w:val="en-US"/>
        </w:rPr>
        <w:t xml:space="preserve"> </w:t>
      </w:r>
      <w:r w:rsidRPr="00244ADC">
        <w:t>of the TxCDBG Implementation Manual include sample contract</w:t>
      </w:r>
      <w:r>
        <w:rPr>
          <w:lang w:val="en-US"/>
        </w:rPr>
        <w:t>s</w:t>
      </w:r>
      <w:r w:rsidRPr="00244ADC">
        <w:t xml:space="preserve"> that may be used for </w:t>
      </w:r>
      <w:r>
        <w:rPr>
          <w:lang w:val="en-US"/>
        </w:rPr>
        <w:t>various purchases:</w:t>
      </w:r>
    </w:p>
    <w:p w14:paraId="0786D6A7" w14:textId="343687D5" w:rsidR="000C6B4E" w:rsidRDefault="000C6B4E" w:rsidP="005F4682">
      <w:pPr>
        <w:pStyle w:val="BULLETS"/>
        <w:numPr>
          <w:ilvl w:val="0"/>
          <w:numId w:val="13"/>
        </w:numPr>
        <w:spacing w:line="240" w:lineRule="auto"/>
      </w:pPr>
      <w:r w:rsidRPr="00996A34">
        <w:rPr>
          <w:b/>
          <w:bCs/>
        </w:rPr>
        <w:t>Appendix D</w:t>
      </w:r>
      <w:r>
        <w:rPr>
          <w:b/>
          <w:bCs/>
        </w:rPr>
        <w:t xml:space="preserve"> </w:t>
      </w:r>
      <w:r>
        <w:t xml:space="preserve">– </w:t>
      </w:r>
      <w:r w:rsidR="00004A6A">
        <w:t>Administration</w:t>
      </w:r>
      <w:r w:rsidRPr="00244ADC">
        <w:t xml:space="preserve"> services</w:t>
      </w:r>
    </w:p>
    <w:p w14:paraId="5AE57D50" w14:textId="77777777" w:rsidR="000C6B4E" w:rsidRDefault="000C6B4E" w:rsidP="005F4682">
      <w:pPr>
        <w:pStyle w:val="BULLETS"/>
        <w:numPr>
          <w:ilvl w:val="0"/>
          <w:numId w:val="13"/>
        </w:numPr>
        <w:spacing w:line="240" w:lineRule="auto"/>
      </w:pPr>
      <w:r w:rsidRPr="00996A34">
        <w:rPr>
          <w:b/>
          <w:bCs/>
        </w:rPr>
        <w:t xml:space="preserve">Appendix </w:t>
      </w:r>
      <w:r>
        <w:rPr>
          <w:b/>
          <w:bCs/>
        </w:rPr>
        <w:t xml:space="preserve">E </w:t>
      </w:r>
      <w:r>
        <w:t>– Engineering</w:t>
      </w:r>
      <w:r w:rsidRPr="00244ADC">
        <w:t xml:space="preserve"> services</w:t>
      </w:r>
    </w:p>
    <w:p w14:paraId="31054C31" w14:textId="77777777" w:rsidR="000C6B4E" w:rsidRDefault="000C6B4E" w:rsidP="005F4682">
      <w:pPr>
        <w:pStyle w:val="BULLETS"/>
        <w:numPr>
          <w:ilvl w:val="0"/>
          <w:numId w:val="13"/>
        </w:numPr>
        <w:spacing w:line="240" w:lineRule="auto"/>
      </w:pPr>
      <w:r>
        <w:rPr>
          <w:b/>
          <w:bCs/>
        </w:rPr>
        <w:t xml:space="preserve">Appendix F </w:t>
      </w:r>
      <w:r>
        <w:t>– Construction services</w:t>
      </w:r>
    </w:p>
    <w:p w14:paraId="3348BD62" w14:textId="77777777" w:rsidR="000C6B4E" w:rsidRDefault="000C6B4E" w:rsidP="005F4682">
      <w:pPr>
        <w:pStyle w:val="BULLETS"/>
        <w:numPr>
          <w:ilvl w:val="0"/>
          <w:numId w:val="13"/>
        </w:numPr>
        <w:spacing w:line="240" w:lineRule="auto"/>
      </w:pPr>
      <w:r>
        <w:rPr>
          <w:b/>
          <w:bCs/>
        </w:rPr>
        <w:t xml:space="preserve">Appendix G </w:t>
      </w:r>
      <w:r>
        <w:t xml:space="preserve">– Materials </w:t>
      </w:r>
    </w:p>
    <w:p w14:paraId="08961A51" w14:textId="77777777" w:rsidR="000C6B4E" w:rsidRDefault="000C6B4E" w:rsidP="009333F8">
      <w:pPr>
        <w:pStyle w:val="ACDBGBODYArial11"/>
        <w:spacing w:line="240" w:lineRule="auto"/>
        <w:ind w:left="720"/>
      </w:pPr>
    </w:p>
    <w:p w14:paraId="017C545F" w14:textId="32905291" w:rsidR="000C6B4E" w:rsidRPr="001020C7" w:rsidRDefault="000C6B4E" w:rsidP="009333F8">
      <w:pPr>
        <w:pStyle w:val="ACDBGBODYArial11"/>
        <w:spacing w:line="240" w:lineRule="auto"/>
        <w:ind w:right="-72"/>
        <w:rPr>
          <w:lang w:val="en-US"/>
        </w:rPr>
      </w:pPr>
      <w:r>
        <w:t xml:space="preserve">In addition to other federal and </w:t>
      </w:r>
      <w:r>
        <w:rPr>
          <w:lang w:val="en-US"/>
        </w:rPr>
        <w:t>state</w:t>
      </w:r>
      <w:r>
        <w:t xml:space="preserve"> provisions required,</w:t>
      </w:r>
      <w:r w:rsidRPr="00570D3F">
        <w:t xml:space="preserve"> </w:t>
      </w:r>
      <w:r w:rsidRPr="000B4E11">
        <w:t>all</w:t>
      </w:r>
      <w:r>
        <w:t xml:space="preserve"> </w:t>
      </w:r>
      <w:r w:rsidRPr="000B4E11">
        <w:t xml:space="preserve">contracts </w:t>
      </w:r>
      <w:r>
        <w:rPr>
          <w:lang w:val="en-US"/>
        </w:rPr>
        <w:t xml:space="preserve">or purchase orders </w:t>
      </w:r>
      <w:r w:rsidRPr="00A05D29">
        <w:t xml:space="preserve">must </w:t>
      </w:r>
      <w:r>
        <w:t>address</w:t>
      </w:r>
      <w:r w:rsidRPr="00A05D29">
        <w:t>, if applicable, the following provisions</w:t>
      </w:r>
      <w:r>
        <w:rPr>
          <w:lang w:val="en-US"/>
        </w:rPr>
        <w:t xml:space="preserve">. </w:t>
      </w:r>
      <w:r>
        <w:t xml:space="preserve">See also </w:t>
      </w:r>
      <w:r w:rsidRPr="002C7A9B">
        <w:rPr>
          <w:bCs/>
        </w:rPr>
        <w:t>Appendix B</w:t>
      </w:r>
      <w:r>
        <w:t xml:space="preserve"> for required contract provisions</w:t>
      </w:r>
      <w:r>
        <w:rPr>
          <w:lang w:val="en-US"/>
        </w:rPr>
        <w:t>.</w:t>
      </w:r>
    </w:p>
    <w:p w14:paraId="19BD63CE" w14:textId="71313C02" w:rsidR="000C6B4E" w:rsidRPr="00B31D2A" w:rsidRDefault="000C6B4E" w:rsidP="005F4682">
      <w:pPr>
        <w:pStyle w:val="BULLETS"/>
        <w:numPr>
          <w:ilvl w:val="0"/>
          <w:numId w:val="12"/>
        </w:numPr>
        <w:spacing w:line="240" w:lineRule="auto"/>
      </w:pPr>
      <w:r w:rsidRPr="00031206">
        <w:rPr>
          <w:b/>
          <w:bCs/>
        </w:rPr>
        <w:t>Debarment and suspension</w:t>
      </w:r>
      <w:r w:rsidR="00774A56" w:rsidRPr="000B4E11">
        <w:t xml:space="preserve"> </w:t>
      </w:r>
      <w:r w:rsidR="00774A56">
        <w:t xml:space="preserve">– </w:t>
      </w:r>
      <w:r w:rsidRPr="00AC4266">
        <w:t>(</w:t>
      </w:r>
      <w:r>
        <w:t>E</w:t>
      </w:r>
      <w:r w:rsidRPr="00AC4266">
        <w:t xml:space="preserve">xecutive </w:t>
      </w:r>
      <w:r>
        <w:t>O</w:t>
      </w:r>
      <w:r w:rsidRPr="00AC4266">
        <w:t xml:space="preserve">rders </w:t>
      </w:r>
      <w:r w:rsidR="00A965D5">
        <w:t xml:space="preserve">Nos. </w:t>
      </w:r>
      <w:r w:rsidRPr="00AC4266">
        <w:t>12549 and 12689)</w:t>
      </w:r>
      <w:r>
        <w:t xml:space="preserve">: </w:t>
      </w:r>
      <w:r w:rsidRPr="00AC4266">
        <w:t xml:space="preserve">A contract award must not be made to parties listed on the </w:t>
      </w:r>
      <w:r w:rsidRPr="00C157A7">
        <w:t>government wide</w:t>
      </w:r>
      <w:r w:rsidRPr="00B31D2A">
        <w:t xml:space="preserve"> exclusions list in SAM.</w:t>
      </w:r>
      <w:r w:rsidRPr="002F5F8D">
        <w:t xml:space="preserve"> </w:t>
      </w:r>
    </w:p>
    <w:p w14:paraId="11AA9E85" w14:textId="348A5AE6" w:rsidR="000C6B4E" w:rsidRPr="00896632" w:rsidRDefault="000C6B4E" w:rsidP="005F4682">
      <w:pPr>
        <w:pStyle w:val="BULLETS"/>
        <w:numPr>
          <w:ilvl w:val="0"/>
          <w:numId w:val="12"/>
        </w:numPr>
        <w:spacing w:line="240" w:lineRule="auto"/>
      </w:pPr>
      <w:r w:rsidRPr="003B4274">
        <w:rPr>
          <w:b/>
          <w:bCs/>
        </w:rPr>
        <w:t>Amendments</w:t>
      </w:r>
      <w:r w:rsidR="00774A56" w:rsidRPr="000B4E11">
        <w:t xml:space="preserve"> </w:t>
      </w:r>
      <w:r w:rsidR="00774A56">
        <w:t xml:space="preserve">– </w:t>
      </w:r>
      <w:r w:rsidRPr="00896632">
        <w:t>Procedures for amending the</w:t>
      </w:r>
      <w:r>
        <w:t xml:space="preserve"> contract, including the </w:t>
      </w:r>
      <w:r w:rsidRPr="00896632">
        <w:t>scope of work and/or compensation section</w:t>
      </w:r>
      <w:r>
        <w:t>, and the addition of details known only once the grant project is awarded by TDA</w:t>
      </w:r>
      <w:r w:rsidRPr="00896632">
        <w:t>.</w:t>
      </w:r>
    </w:p>
    <w:p w14:paraId="085AB7E5" w14:textId="7DFC1FF5" w:rsidR="000C6B4E" w:rsidRPr="00896632" w:rsidRDefault="000C6B4E" w:rsidP="005F4682">
      <w:pPr>
        <w:pStyle w:val="BULLETS"/>
        <w:numPr>
          <w:ilvl w:val="0"/>
          <w:numId w:val="12"/>
        </w:numPr>
        <w:spacing w:line="240" w:lineRule="auto"/>
      </w:pPr>
      <w:r w:rsidRPr="003B4274">
        <w:rPr>
          <w:b/>
          <w:bCs/>
        </w:rPr>
        <w:t>Termination</w:t>
      </w:r>
      <w:r w:rsidR="00774A56" w:rsidRPr="000B4E11">
        <w:t xml:space="preserve"> </w:t>
      </w:r>
      <w:r w:rsidR="00774A56">
        <w:t xml:space="preserve">– </w:t>
      </w:r>
      <w:r w:rsidRPr="00896632">
        <w:t xml:space="preserve">Explaining circumstances under which the Grant </w:t>
      </w:r>
      <w:r>
        <w:t>Recipient</w:t>
      </w:r>
      <w:r w:rsidRPr="0028082C">
        <w:t xml:space="preserve"> </w:t>
      </w:r>
      <w:r w:rsidRPr="00896632">
        <w:t>or other party can</w:t>
      </w:r>
      <w:r w:rsidR="00BF2A97">
        <w:t xml:space="preserve"> </w:t>
      </w:r>
      <w:r w:rsidRPr="00896632">
        <w:t>cancel the contract (e.g., unsatisfactory performance).</w:t>
      </w:r>
    </w:p>
    <w:p w14:paraId="1B4D91BA" w14:textId="35247FE8" w:rsidR="000C6B4E" w:rsidRPr="00390852" w:rsidRDefault="000C6B4E" w:rsidP="005F4682">
      <w:pPr>
        <w:pStyle w:val="BULLETS"/>
        <w:numPr>
          <w:ilvl w:val="0"/>
          <w:numId w:val="12"/>
        </w:numPr>
        <w:spacing w:line="240" w:lineRule="auto"/>
      </w:pPr>
      <w:r w:rsidRPr="003B4274">
        <w:rPr>
          <w:b/>
          <w:bCs/>
        </w:rPr>
        <w:t>Access to Records</w:t>
      </w:r>
      <w:r w:rsidR="00774A56" w:rsidRPr="000B4E11">
        <w:t xml:space="preserve"> </w:t>
      </w:r>
      <w:r w:rsidR="00774A56">
        <w:t xml:space="preserve">– </w:t>
      </w:r>
      <w:r w:rsidRPr="00390852">
        <w:t xml:space="preserve">Provides TDA or other government entity with access to any documents of the Grant </w:t>
      </w:r>
      <w:r>
        <w:t>Recipient</w:t>
      </w:r>
      <w:r w:rsidRPr="0028082C">
        <w:t xml:space="preserve"> </w:t>
      </w:r>
      <w:r w:rsidRPr="00390852">
        <w:t>pertinent to the TxCDBG award.</w:t>
      </w:r>
    </w:p>
    <w:p w14:paraId="09DC55A1" w14:textId="43F841C8" w:rsidR="000C6B4E" w:rsidRPr="00390852" w:rsidRDefault="000C6B4E" w:rsidP="005F4682">
      <w:pPr>
        <w:pStyle w:val="BULLETS"/>
        <w:numPr>
          <w:ilvl w:val="0"/>
          <w:numId w:val="12"/>
        </w:numPr>
        <w:spacing w:line="240" w:lineRule="auto"/>
      </w:pPr>
      <w:r w:rsidRPr="003B4274">
        <w:rPr>
          <w:b/>
          <w:bCs/>
        </w:rPr>
        <w:t xml:space="preserve">Retention of Records for </w:t>
      </w:r>
      <w:r>
        <w:rPr>
          <w:b/>
          <w:bCs/>
        </w:rPr>
        <w:t xml:space="preserve">Four </w:t>
      </w:r>
      <w:r w:rsidRPr="003B4274">
        <w:rPr>
          <w:b/>
          <w:bCs/>
        </w:rPr>
        <w:t>Years</w:t>
      </w:r>
      <w:r w:rsidR="00774A56" w:rsidRPr="000B4E11">
        <w:t xml:space="preserve"> </w:t>
      </w:r>
      <w:r w:rsidR="00774A56">
        <w:t xml:space="preserve">– </w:t>
      </w:r>
      <w:r>
        <w:t xml:space="preserve">Retain </w:t>
      </w:r>
      <w:r w:rsidRPr="00390852">
        <w:t xml:space="preserve">all required records for </w:t>
      </w:r>
      <w:r>
        <w:t xml:space="preserve">four </w:t>
      </w:r>
      <w:r w:rsidRPr="00390852">
        <w:t xml:space="preserve">years after the </w:t>
      </w:r>
      <w:r>
        <w:t>Grant Recipient</w:t>
      </w:r>
      <w:r w:rsidRPr="00390852">
        <w:t xml:space="preserve"> makes its final payment and all pending matters are closed.</w:t>
      </w:r>
    </w:p>
    <w:p w14:paraId="195EF0B1" w14:textId="0B90AF54" w:rsidR="00774A56" w:rsidRPr="00774A56" w:rsidRDefault="000C6B4E" w:rsidP="009333F8">
      <w:pPr>
        <w:pStyle w:val="ACDBGBODYArial11"/>
        <w:spacing w:line="240" w:lineRule="auto"/>
        <w:ind w:left="720"/>
        <w:jc w:val="left"/>
        <w:rPr>
          <w:i/>
          <w:iCs/>
          <w:lang w:val="en-US"/>
        </w:rPr>
      </w:pPr>
      <w:r w:rsidRPr="00175F1F">
        <w:rPr>
          <w:b/>
          <w:bCs/>
        </w:rPr>
        <w:t>NOTE</w:t>
      </w:r>
      <w:r w:rsidRPr="00390852">
        <w:t xml:space="preserve">: </w:t>
      </w:r>
      <w:r w:rsidRPr="006E6B69">
        <w:t>The</w:t>
      </w:r>
      <w:r>
        <w:rPr>
          <w:lang w:val="en-US"/>
        </w:rPr>
        <w:t xml:space="preserve"> </w:t>
      </w:r>
      <w:r w:rsidRPr="006E6B69">
        <w:t xml:space="preserve">Grant Recipient must retain files beyond this period </w:t>
      </w:r>
      <w:r w:rsidRPr="00774A56">
        <w:t xml:space="preserve">as described in </w:t>
      </w:r>
      <w:r w:rsidR="00774A56" w:rsidRPr="00774A56">
        <w:rPr>
          <w:i/>
          <w:iCs/>
          <w:lang w:val="en-US"/>
        </w:rPr>
        <w:t>Chapter</w:t>
      </w:r>
      <w:r w:rsidR="009D21B5">
        <w:rPr>
          <w:i/>
          <w:iCs/>
          <w:lang w:val="en-US"/>
        </w:rPr>
        <w:t xml:space="preserve"> </w:t>
      </w:r>
      <w:r w:rsidR="00774A56" w:rsidRPr="00774A56">
        <w:rPr>
          <w:i/>
          <w:iCs/>
          <w:lang w:val="en-US"/>
        </w:rPr>
        <w:t>1 Administration and Reporting</w:t>
      </w:r>
      <w:r w:rsidR="00774A56">
        <w:rPr>
          <w:i/>
          <w:iCs/>
          <w:lang w:val="en-US"/>
        </w:rPr>
        <w:t>.</w:t>
      </w:r>
    </w:p>
    <w:p w14:paraId="4336D2CF" w14:textId="1F992CCE" w:rsidR="000C6B4E" w:rsidRDefault="000C6B4E" w:rsidP="005F4682">
      <w:pPr>
        <w:pStyle w:val="ACDBGBODYArial11"/>
        <w:numPr>
          <w:ilvl w:val="0"/>
          <w:numId w:val="12"/>
        </w:numPr>
        <w:spacing w:line="240" w:lineRule="auto"/>
        <w:jc w:val="left"/>
      </w:pPr>
      <w:r w:rsidRPr="00031206">
        <w:rPr>
          <w:b/>
          <w:bCs/>
        </w:rPr>
        <w:t xml:space="preserve">Section 3 </w:t>
      </w:r>
      <w:r>
        <w:rPr>
          <w:b/>
          <w:bCs/>
        </w:rPr>
        <w:t>Provision</w:t>
      </w:r>
      <w:r w:rsidR="00774A56" w:rsidRPr="000B4E11">
        <w:t xml:space="preserve"> </w:t>
      </w:r>
      <w:r w:rsidR="00774A56">
        <w:t xml:space="preserve">– </w:t>
      </w:r>
      <w:r w:rsidR="00774A56">
        <w:rPr>
          <w:lang w:val="en-US"/>
        </w:rPr>
        <w:t>F</w:t>
      </w:r>
      <w:r>
        <w:t xml:space="preserve">or all contracts unless otherwise specified in the </w:t>
      </w:r>
      <w:r w:rsidR="00446814">
        <w:t>Grant Agreement</w:t>
      </w:r>
      <w:r>
        <w:t>.</w:t>
      </w:r>
      <w:r w:rsidR="00774A56">
        <w:rPr>
          <w:rStyle w:val="FootnoteReference"/>
        </w:rPr>
        <w:footnoteReference w:id="22"/>
      </w:r>
      <w:r>
        <w:t xml:space="preserve">  The provision is not required for materials-only or equipment contracts and for </w:t>
      </w:r>
      <w:r w:rsidRPr="00D75C76">
        <w:t>non-construction services that require an advanced degree or professional licensing</w:t>
      </w:r>
      <w:r>
        <w:t>, including services identified in the Professional Services Procurement Act.</w:t>
      </w:r>
    </w:p>
    <w:p w14:paraId="2942163C" w14:textId="114852C9" w:rsidR="000C6B4E" w:rsidRDefault="000C6B4E" w:rsidP="005F4682">
      <w:pPr>
        <w:pStyle w:val="BULLETS"/>
        <w:numPr>
          <w:ilvl w:val="0"/>
          <w:numId w:val="12"/>
        </w:numPr>
        <w:spacing w:line="240" w:lineRule="auto"/>
        <w:ind w:right="-162"/>
      </w:pPr>
      <w:r w:rsidRPr="003B4274">
        <w:rPr>
          <w:b/>
          <w:bCs/>
        </w:rPr>
        <w:t>Equal Opportunity Clause</w:t>
      </w:r>
      <w:r w:rsidR="00774A56" w:rsidRPr="000B4E11">
        <w:t xml:space="preserve"> </w:t>
      </w:r>
      <w:r w:rsidR="00774A56">
        <w:t>– F</w:t>
      </w:r>
      <w:r w:rsidRPr="00390852">
        <w:t>or contracts over $10,000</w:t>
      </w:r>
      <w:r w:rsidR="00774A56">
        <w:t>.</w:t>
      </w:r>
      <w:r w:rsidR="00774A56">
        <w:rPr>
          <w:rStyle w:val="FootnoteReference"/>
        </w:rPr>
        <w:footnoteReference w:id="23"/>
      </w:r>
    </w:p>
    <w:p w14:paraId="675BB6C3" w14:textId="643FD394" w:rsidR="000C6B4E" w:rsidRDefault="000C6B4E" w:rsidP="005F4682">
      <w:pPr>
        <w:pStyle w:val="BULLETS"/>
        <w:numPr>
          <w:ilvl w:val="0"/>
          <w:numId w:val="12"/>
        </w:numPr>
        <w:spacing w:line="240" w:lineRule="auto"/>
      </w:pPr>
      <w:r>
        <w:rPr>
          <w:b/>
          <w:bCs/>
        </w:rPr>
        <w:t>Anti-lobbying certification</w:t>
      </w:r>
      <w:r>
        <w:t xml:space="preserve"> </w:t>
      </w:r>
      <w:r w:rsidR="00774A56">
        <w:t>– A</w:t>
      </w:r>
      <w:r>
        <w:t>ll contracts ≥$100,000.</w:t>
      </w:r>
    </w:p>
    <w:p w14:paraId="711AE4CE" w14:textId="77777777" w:rsidR="00774A56" w:rsidRDefault="00774A56" w:rsidP="00B16DFB"/>
    <w:p w14:paraId="447F552B" w14:textId="7FA4D20B" w:rsidR="000C6B4E" w:rsidRPr="00E45B41" w:rsidRDefault="000C6B4E" w:rsidP="009333F8">
      <w:pPr>
        <w:pStyle w:val="Arial11BOLD"/>
      </w:pPr>
      <w:r>
        <w:t xml:space="preserve">Required </w:t>
      </w:r>
      <w:r w:rsidRPr="000B4E11">
        <w:t xml:space="preserve">Contract Provisions </w:t>
      </w:r>
      <w:r>
        <w:t>– Non-Construction Services</w:t>
      </w:r>
    </w:p>
    <w:p w14:paraId="63F335E6" w14:textId="77777777" w:rsidR="000C6B4E" w:rsidRDefault="000C6B4E" w:rsidP="009333F8">
      <w:pPr>
        <w:pStyle w:val="ACDBGBODYArial11"/>
        <w:spacing w:line="240" w:lineRule="auto"/>
      </w:pPr>
      <w:r>
        <w:rPr>
          <w:lang w:val="en-US"/>
        </w:rPr>
        <w:t xml:space="preserve">In addition to the above requirements, </w:t>
      </w:r>
      <w:r>
        <w:t>the service provider contract or agreement must include the following at a minimum:</w:t>
      </w:r>
    </w:p>
    <w:p w14:paraId="0467AC3F" w14:textId="77777777" w:rsidR="000C6B4E" w:rsidRPr="00896632" w:rsidRDefault="000C6B4E" w:rsidP="009333F8">
      <w:pPr>
        <w:pStyle w:val="BULLETS"/>
        <w:spacing w:line="240" w:lineRule="auto"/>
      </w:pPr>
      <w:r w:rsidRPr="003B4274">
        <w:rPr>
          <w:b/>
          <w:bCs/>
        </w:rPr>
        <w:t>Names of Both Parties</w:t>
      </w:r>
      <w:r>
        <w:t xml:space="preserve"> – </w:t>
      </w:r>
      <w:r w:rsidRPr="00896632">
        <w:t xml:space="preserve">Grant </w:t>
      </w:r>
      <w:r>
        <w:t>Recipient</w:t>
      </w:r>
      <w:r w:rsidRPr="00896632">
        <w:t xml:space="preserve"> and </w:t>
      </w:r>
      <w:r>
        <w:t>service provider</w:t>
      </w:r>
      <w:r w:rsidRPr="00896632">
        <w:t>.</w:t>
      </w:r>
    </w:p>
    <w:p w14:paraId="1847B1C0" w14:textId="77777777" w:rsidR="000C6B4E" w:rsidRDefault="000C6B4E" w:rsidP="009333F8">
      <w:pPr>
        <w:pStyle w:val="BULLETS"/>
        <w:spacing w:line="240" w:lineRule="auto"/>
      </w:pPr>
      <w:r w:rsidRPr="003B4274">
        <w:rPr>
          <w:b/>
          <w:bCs/>
        </w:rPr>
        <w:t>Effective Dates</w:t>
      </w:r>
      <w:r>
        <w:t xml:space="preserve"> – </w:t>
      </w:r>
      <w:r w:rsidRPr="00896632">
        <w:t>Starting and ending dates.</w:t>
      </w:r>
    </w:p>
    <w:p w14:paraId="117AC375" w14:textId="55549FB9" w:rsidR="000C6B4E" w:rsidRPr="00896632" w:rsidRDefault="000C6B4E" w:rsidP="009333F8">
      <w:pPr>
        <w:pStyle w:val="BULLETS"/>
        <w:numPr>
          <w:ilvl w:val="0"/>
          <w:numId w:val="0"/>
        </w:numPr>
        <w:spacing w:line="240" w:lineRule="auto"/>
        <w:ind w:left="720"/>
      </w:pPr>
      <w:r w:rsidRPr="000166C3">
        <w:rPr>
          <w:b/>
          <w:bCs/>
        </w:rPr>
        <w:t>NOTE</w:t>
      </w:r>
      <w:r>
        <w:t xml:space="preserve">: </w:t>
      </w:r>
      <w:r w:rsidRPr="008074B3">
        <w:t xml:space="preserve">TxCDBG funds and matching funds may </w:t>
      </w:r>
      <w:r>
        <w:t xml:space="preserve">only </w:t>
      </w:r>
      <w:r w:rsidRPr="008074B3">
        <w:t xml:space="preserve">be used to pay/reimburse for services dated </w:t>
      </w:r>
      <w:r>
        <w:t xml:space="preserve">after both the </w:t>
      </w:r>
      <w:r w:rsidR="00446814">
        <w:t>Grant Agreement</w:t>
      </w:r>
      <w:r>
        <w:t xml:space="preserve"> start date (or approved pre-agreement date identified in the </w:t>
      </w:r>
      <w:r w:rsidR="00446814">
        <w:t>Grant Agreement</w:t>
      </w:r>
      <w:r>
        <w:t xml:space="preserve"> or award notice) AND the services contract start date.  </w:t>
      </w:r>
    </w:p>
    <w:p w14:paraId="2DA91587" w14:textId="77777777" w:rsidR="000C6B4E" w:rsidRPr="00896632" w:rsidRDefault="000C6B4E" w:rsidP="009333F8">
      <w:pPr>
        <w:pStyle w:val="BULLETS"/>
        <w:spacing w:line="240" w:lineRule="auto"/>
      </w:pPr>
      <w:r w:rsidRPr="003B4274">
        <w:rPr>
          <w:b/>
          <w:bCs/>
        </w:rPr>
        <w:t>Scope of Services</w:t>
      </w:r>
      <w:r>
        <w:t xml:space="preserve"> – </w:t>
      </w:r>
      <w:r w:rsidRPr="00896632">
        <w:t xml:space="preserve">Either directly written </w:t>
      </w:r>
      <w:proofErr w:type="gramStart"/>
      <w:r w:rsidRPr="00896632">
        <w:t>into</w:t>
      </w:r>
      <w:proofErr w:type="gramEnd"/>
      <w:r w:rsidRPr="00896632">
        <w:t xml:space="preserve"> the contract or provided as an attachment that is incorporated into the contract.</w:t>
      </w:r>
    </w:p>
    <w:p w14:paraId="4AABB475" w14:textId="77777777" w:rsidR="000C6B4E" w:rsidRPr="00896632" w:rsidRDefault="000C6B4E" w:rsidP="009333F8">
      <w:pPr>
        <w:pStyle w:val="BULLETS"/>
        <w:spacing w:line="240" w:lineRule="auto"/>
      </w:pPr>
      <w:r w:rsidRPr="003B4274">
        <w:rPr>
          <w:b/>
          <w:bCs/>
        </w:rPr>
        <w:t>Compensation</w:t>
      </w:r>
      <w:r>
        <w:t xml:space="preserve"> – </w:t>
      </w:r>
      <w:r w:rsidRPr="00896632">
        <w:t>Including the maximum amount of the contract as either a firm, fixed-price contract, or a not to exceed cost-reimbursable type contract.</w:t>
      </w:r>
    </w:p>
    <w:p w14:paraId="3836D33B" w14:textId="77777777" w:rsidR="000C6B4E" w:rsidRPr="00896632" w:rsidRDefault="000C6B4E" w:rsidP="009333F8">
      <w:pPr>
        <w:pStyle w:val="BULLETS"/>
        <w:spacing w:line="240" w:lineRule="auto"/>
        <w:ind w:right="-432"/>
      </w:pPr>
      <w:r w:rsidRPr="003B4274">
        <w:rPr>
          <w:b/>
          <w:bCs/>
        </w:rPr>
        <w:t>Local Program Liaison</w:t>
      </w:r>
      <w:r>
        <w:t xml:space="preserve"> – I</w:t>
      </w:r>
      <w:r w:rsidRPr="00896632">
        <w:t>dentification of a local public official as the consultant's primary contact.</w:t>
      </w:r>
    </w:p>
    <w:p w14:paraId="2A525966" w14:textId="77777777" w:rsidR="000C6B4E" w:rsidRPr="00390852" w:rsidRDefault="000C6B4E" w:rsidP="009333F8">
      <w:pPr>
        <w:pStyle w:val="BULLETS"/>
        <w:spacing w:line="240" w:lineRule="auto"/>
        <w:ind w:right="-342"/>
      </w:pPr>
      <w:r w:rsidRPr="003B4274">
        <w:rPr>
          <w:b/>
          <w:bCs/>
        </w:rPr>
        <w:t>Resolution of Program Non-compliance</w:t>
      </w:r>
      <w:r>
        <w:t xml:space="preserve"> – </w:t>
      </w:r>
      <w:r w:rsidRPr="00896632">
        <w:t>Procedures for determining the party responsible for</w:t>
      </w:r>
      <w:r>
        <w:t xml:space="preserve"> </w:t>
      </w:r>
      <w:r w:rsidRPr="00675287">
        <w:t xml:space="preserve">any disallowed costs </w:t>
      </w:r>
      <w:proofErr w:type="gramStart"/>
      <w:r w:rsidRPr="00675287">
        <w:t>as a result of</w:t>
      </w:r>
      <w:proofErr w:type="gramEnd"/>
      <w:r w:rsidRPr="00675287">
        <w:t xml:space="preserve"> non-compliance with federal, state, or program </w:t>
      </w:r>
      <w:r w:rsidRPr="00390852">
        <w:t>requirements.</w:t>
      </w:r>
      <w:r>
        <w:t xml:space="preserve"> </w:t>
      </w:r>
    </w:p>
    <w:p w14:paraId="343C652A" w14:textId="77777777" w:rsidR="000C6B4E" w:rsidRDefault="000C6B4E" w:rsidP="005F4682">
      <w:pPr>
        <w:numPr>
          <w:ilvl w:val="0"/>
          <w:numId w:val="2"/>
        </w:numPr>
        <w:autoSpaceDE w:val="0"/>
        <w:autoSpaceDN w:val="0"/>
        <w:adjustRightInd w:val="0"/>
        <w:rPr>
          <w:rFonts w:cs="Arial"/>
          <w:szCs w:val="22"/>
        </w:rPr>
      </w:pPr>
      <w:r w:rsidRPr="003B4274">
        <w:rPr>
          <w:rFonts w:cs="Arial"/>
          <w:b/>
          <w:bCs/>
          <w:szCs w:val="22"/>
        </w:rPr>
        <w:t>On-site Inspections</w:t>
      </w:r>
      <w:r>
        <w:t xml:space="preserve"> – </w:t>
      </w:r>
      <w:r>
        <w:rPr>
          <w:rFonts w:cs="Arial"/>
          <w:szCs w:val="22"/>
        </w:rPr>
        <w:t>E</w:t>
      </w:r>
      <w:r w:rsidRPr="00390852">
        <w:rPr>
          <w:rFonts w:cs="Arial"/>
          <w:szCs w:val="22"/>
        </w:rPr>
        <w:t>nsure that the complete work conforms with the approved plans and specifications (</w:t>
      </w:r>
      <w:r>
        <w:rPr>
          <w:rFonts w:cs="Arial"/>
          <w:szCs w:val="22"/>
        </w:rPr>
        <w:t>e</w:t>
      </w:r>
      <w:r w:rsidRPr="00390852">
        <w:rPr>
          <w:rFonts w:cs="Arial"/>
          <w:szCs w:val="22"/>
        </w:rPr>
        <w:t>ngineering contract only).</w:t>
      </w:r>
    </w:p>
    <w:p w14:paraId="0C01BE33" w14:textId="77777777" w:rsidR="000C6B4E" w:rsidRPr="00390852" w:rsidRDefault="000C6B4E" w:rsidP="005F4682">
      <w:pPr>
        <w:numPr>
          <w:ilvl w:val="0"/>
          <w:numId w:val="2"/>
        </w:numPr>
        <w:autoSpaceDE w:val="0"/>
        <w:autoSpaceDN w:val="0"/>
        <w:adjustRightInd w:val="0"/>
        <w:rPr>
          <w:rFonts w:cs="Arial"/>
          <w:szCs w:val="22"/>
        </w:rPr>
      </w:pPr>
      <w:r>
        <w:rPr>
          <w:rFonts w:cs="Arial"/>
          <w:b/>
          <w:bCs/>
          <w:szCs w:val="22"/>
        </w:rPr>
        <w:t>Optional</w:t>
      </w:r>
      <w:r>
        <w:t xml:space="preserve"> – </w:t>
      </w:r>
      <w:r w:rsidRPr="00A47F77">
        <w:rPr>
          <w:rFonts w:cs="Arial"/>
          <w:szCs w:val="22"/>
        </w:rPr>
        <w:t>If a service provider is preselected and a contract is entered into prior to grant award, the contract should include a statement which states that in the event TxCDBG funds are not awarded to an applicant, the contract shall be terminated by the applicant.</w:t>
      </w:r>
    </w:p>
    <w:p w14:paraId="39EA5802" w14:textId="77777777" w:rsidR="000C6B4E" w:rsidRPr="009372B7" w:rsidRDefault="000C6B4E" w:rsidP="009333F8">
      <w:pPr>
        <w:pStyle w:val="BULLETS"/>
        <w:numPr>
          <w:ilvl w:val="0"/>
          <w:numId w:val="0"/>
        </w:numPr>
        <w:spacing w:line="240" w:lineRule="auto"/>
        <w:ind w:left="720"/>
      </w:pPr>
    </w:p>
    <w:p w14:paraId="6E3F2861" w14:textId="77777777" w:rsidR="000C6B4E" w:rsidRPr="006E6B69" w:rsidRDefault="000C6B4E" w:rsidP="009333F8">
      <w:pPr>
        <w:pStyle w:val="Arial11BOLD"/>
        <w:rPr>
          <w:highlight w:val="yellow"/>
        </w:rPr>
      </w:pPr>
      <w:r w:rsidRPr="00334371">
        <w:t xml:space="preserve">Required Contract Provisions </w:t>
      </w:r>
      <w:r>
        <w:t>– Construction Contracts</w:t>
      </w:r>
    </w:p>
    <w:p w14:paraId="07FD0169" w14:textId="77777777" w:rsidR="000C6B4E" w:rsidRPr="009372B7" w:rsidRDefault="000C6B4E" w:rsidP="009333F8">
      <w:pPr>
        <w:pStyle w:val="ACDBGBODYArial11"/>
        <w:spacing w:line="240" w:lineRule="auto"/>
      </w:pPr>
      <w:r w:rsidRPr="009372B7">
        <w:t xml:space="preserve">In addition to the preceding, </w:t>
      </w:r>
      <w:r>
        <w:rPr>
          <w:lang w:val="en-US"/>
        </w:rPr>
        <w:t>construction contracts</w:t>
      </w:r>
      <w:r w:rsidRPr="009372B7">
        <w:t xml:space="preserve"> must also address the following:</w:t>
      </w:r>
    </w:p>
    <w:p w14:paraId="102BC97A" w14:textId="16D05D3C" w:rsidR="000C6B4E" w:rsidRPr="000B4E11" w:rsidRDefault="000C6B4E" w:rsidP="009333F8">
      <w:pPr>
        <w:pStyle w:val="BULLETS"/>
        <w:spacing w:line="240" w:lineRule="auto"/>
      </w:pPr>
      <w:r w:rsidRPr="000B4E11">
        <w:t xml:space="preserve">For </w:t>
      </w:r>
      <w:r>
        <w:t xml:space="preserve">construction </w:t>
      </w:r>
      <w:r w:rsidRPr="000B4E11">
        <w:t>contracts greater than $2,000, compliance with the Davis-Bacon Act</w:t>
      </w:r>
      <w:r>
        <w:t>,</w:t>
      </w:r>
      <w:r w:rsidRPr="000B4E11">
        <w:t xml:space="preserve"> as supplemented by </w:t>
      </w:r>
      <w:r>
        <w:t xml:space="preserve">DOL </w:t>
      </w:r>
      <w:r w:rsidRPr="000B4E11">
        <w:t>regulations</w:t>
      </w:r>
      <w:r>
        <w:t>, is satisfied by inserting HUD 4010 in construction contract.</w:t>
      </w:r>
      <w:r w:rsidR="00774A56">
        <w:rPr>
          <w:rStyle w:val="FootnoteReference"/>
        </w:rPr>
        <w:footnoteReference w:id="24"/>
      </w:r>
      <w:r w:rsidR="00774A56">
        <w:rPr>
          <w:rStyle w:val="FootnoteReference"/>
        </w:rPr>
        <w:footnoteReference w:id="25"/>
      </w:r>
      <w:r>
        <w:t xml:space="preserve"> See </w:t>
      </w:r>
      <w:r w:rsidRPr="00896E12">
        <w:rPr>
          <w:b/>
        </w:rPr>
        <w:t>Appendix B</w:t>
      </w:r>
      <w:r w:rsidRPr="00150251">
        <w:t>.</w:t>
      </w:r>
    </w:p>
    <w:p w14:paraId="7ADD06DD" w14:textId="2F96376D" w:rsidR="000C6B4E" w:rsidRPr="00B81846" w:rsidRDefault="000C6B4E" w:rsidP="009333F8">
      <w:pPr>
        <w:pStyle w:val="BULLETS"/>
        <w:spacing w:line="240" w:lineRule="auto"/>
      </w:pPr>
      <w:r w:rsidRPr="000B4E11">
        <w:t xml:space="preserve">For </w:t>
      </w:r>
      <w:r>
        <w:t xml:space="preserve">construction </w:t>
      </w:r>
      <w:r w:rsidRPr="000B4E11">
        <w:t>contracts greater than $2,000, compliance with the Copeland “Anti-Kickback” Act</w:t>
      </w:r>
      <w:r>
        <w:t>,</w:t>
      </w:r>
      <w:r w:rsidRPr="000B4E11">
        <w:t xml:space="preserve"> as supplemented in </w:t>
      </w:r>
      <w:r>
        <w:t xml:space="preserve">DOL </w:t>
      </w:r>
      <w:r w:rsidRPr="000B4E11">
        <w:t>regulations</w:t>
      </w:r>
      <w:r>
        <w:t>,</w:t>
      </w:r>
      <w:r w:rsidRPr="000D1C94">
        <w:t xml:space="preserve"> </w:t>
      </w:r>
      <w:r>
        <w:t>is satisfied by inserting HUD 4010 in construction contract.</w:t>
      </w:r>
      <w:r w:rsidR="00774A56">
        <w:rPr>
          <w:rStyle w:val="FootnoteReference"/>
        </w:rPr>
        <w:footnoteReference w:id="26"/>
      </w:r>
      <w:r w:rsidR="00774A56">
        <w:rPr>
          <w:rStyle w:val="FootnoteReference"/>
        </w:rPr>
        <w:footnoteReference w:id="27"/>
      </w:r>
      <w:r>
        <w:t xml:space="preserve"> See </w:t>
      </w:r>
      <w:r w:rsidRPr="00DB6B31">
        <w:rPr>
          <w:b/>
        </w:rPr>
        <w:t xml:space="preserve">Appendix </w:t>
      </w:r>
      <w:r>
        <w:rPr>
          <w:b/>
        </w:rPr>
        <w:t>B</w:t>
      </w:r>
      <w:r>
        <w:t>.</w:t>
      </w:r>
    </w:p>
    <w:p w14:paraId="0C5D394F" w14:textId="04960524" w:rsidR="000C6B4E" w:rsidRPr="00AC4266" w:rsidRDefault="000C6B4E" w:rsidP="009333F8">
      <w:pPr>
        <w:pStyle w:val="BULLETS"/>
        <w:spacing w:line="240" w:lineRule="auto"/>
      </w:pPr>
      <w:r w:rsidRPr="00B81846">
        <w:t>For construction contracts greater than $100,000, compliance with Contract Work Hours and</w:t>
      </w:r>
      <w:r w:rsidRPr="00CB7C82">
        <w:t xml:space="preserve"> Safety Standards Act</w:t>
      </w:r>
      <w:r w:rsidR="00774A56">
        <w:t xml:space="preserve">, </w:t>
      </w:r>
      <w:r>
        <w:t>i</w:t>
      </w:r>
      <w:r w:rsidRPr="00CB7C82">
        <w:t>ncluding work week requirements and safety conditions for workers</w:t>
      </w:r>
      <w:r>
        <w:t>—is satisfied by inserting HUD 4010 in construction contract.</w:t>
      </w:r>
      <w:r w:rsidR="00774A56">
        <w:rPr>
          <w:rStyle w:val="FootnoteReference"/>
        </w:rPr>
        <w:footnoteReference w:id="28"/>
      </w:r>
      <w:r>
        <w:t xml:space="preserve"> See </w:t>
      </w:r>
      <w:r w:rsidRPr="00DB6B31">
        <w:rPr>
          <w:b/>
        </w:rPr>
        <w:t xml:space="preserve">Appendix </w:t>
      </w:r>
      <w:r>
        <w:rPr>
          <w:b/>
        </w:rPr>
        <w:t>B</w:t>
      </w:r>
      <w:r w:rsidRPr="00CB7C82">
        <w:t>.</w:t>
      </w:r>
    </w:p>
    <w:p w14:paraId="6F6C4A43" w14:textId="28514B57" w:rsidR="000C6B4E" w:rsidRDefault="000C6B4E" w:rsidP="009333F8">
      <w:pPr>
        <w:pStyle w:val="BULLETS"/>
        <w:spacing w:line="240" w:lineRule="auto"/>
      </w:pPr>
      <w:r>
        <w:t>For contracts greater than $150,000, include the Clean Air Act and the Clean Water Act, as amended.</w:t>
      </w:r>
      <w:r w:rsidR="00774A56">
        <w:rPr>
          <w:rStyle w:val="FootnoteReference"/>
        </w:rPr>
        <w:footnoteReference w:id="29"/>
      </w:r>
      <w:r w:rsidR="00774A56">
        <w:rPr>
          <w:rStyle w:val="FootnoteReference"/>
        </w:rPr>
        <w:footnoteReference w:id="30"/>
      </w:r>
      <w:r>
        <w:t xml:space="preserve">  </w:t>
      </w:r>
    </w:p>
    <w:p w14:paraId="68C40B1D" w14:textId="77777777" w:rsidR="00774A56" w:rsidRDefault="00774A56" w:rsidP="009333F8">
      <w:pPr>
        <w:pStyle w:val="BULLETS"/>
        <w:numPr>
          <w:ilvl w:val="0"/>
          <w:numId w:val="0"/>
        </w:numPr>
        <w:spacing w:line="240" w:lineRule="auto"/>
        <w:ind w:left="720"/>
      </w:pPr>
    </w:p>
    <w:p w14:paraId="0AE49FF4" w14:textId="1B7CD93D" w:rsidR="00774A56" w:rsidRDefault="000C6B4E" w:rsidP="009333F8">
      <w:pPr>
        <w:pStyle w:val="ACDBGBODYArial11"/>
        <w:spacing w:line="240" w:lineRule="auto"/>
      </w:pPr>
      <w:r>
        <w:t xml:space="preserve">Update the MSR with </w:t>
      </w:r>
      <w:r>
        <w:rPr>
          <w:spacing w:val="1"/>
        </w:rPr>
        <w:t>construction contract information.</w:t>
      </w:r>
      <w:r>
        <w:t xml:space="preserve"> </w:t>
      </w:r>
      <w:r w:rsidR="00774A56">
        <w:t>Detailed step-by-step instructions for completing and submitting an MSR in TDA-GO may be found on the TDA website.</w:t>
      </w:r>
    </w:p>
    <w:p w14:paraId="00BE982E" w14:textId="7FD9132D" w:rsidR="000C6B4E" w:rsidRDefault="000C6B4E" w:rsidP="009333F8">
      <w:pPr>
        <w:pStyle w:val="BULLETS"/>
        <w:numPr>
          <w:ilvl w:val="0"/>
          <w:numId w:val="0"/>
        </w:numPr>
        <w:spacing w:line="240" w:lineRule="auto"/>
        <w:ind w:left="720"/>
        <w:rPr>
          <w:b/>
          <w:bCs/>
          <w:u w:val="single"/>
        </w:rPr>
      </w:pPr>
    </w:p>
    <w:p w14:paraId="2AE0BD3B" w14:textId="2C6F314A" w:rsidR="000C6B4E" w:rsidRPr="00B16DFB" w:rsidRDefault="00B16DFB" w:rsidP="009333F8">
      <w:pPr>
        <w:rPr>
          <w:rFonts w:cs="Arial"/>
        </w:rPr>
      </w:pPr>
      <w:r w:rsidRPr="00B16DFB">
        <w:rPr>
          <w:rFonts w:cs="Arial"/>
          <w:b/>
          <w:bCs/>
        </w:rPr>
        <w:t>NOTE</w:t>
      </w:r>
      <w:r w:rsidR="009008AE" w:rsidRPr="00B16DFB">
        <w:rPr>
          <w:rFonts w:cs="Arial"/>
          <w:b/>
          <w:bCs/>
        </w:rPr>
        <w:t>:</w:t>
      </w:r>
      <w:r w:rsidR="009008AE" w:rsidRPr="00B16DFB">
        <w:rPr>
          <w:rFonts w:cs="Arial"/>
        </w:rPr>
        <w:t xml:space="preserve"> While federal and state requirements do not require the contract for materials or services to retain a percentage of funds based on progress milestones, disbursement of grant funding is dependent on both work performed and grant-based milestones.  See Chapter 2 Financial Management.</w:t>
      </w:r>
    </w:p>
    <w:p w14:paraId="1A719C55" w14:textId="77777777" w:rsidR="009008AE" w:rsidRDefault="009008AE" w:rsidP="009333F8">
      <w:pPr>
        <w:rPr>
          <w:rFonts w:cs="Arial"/>
          <w:b/>
          <w:bCs/>
          <w:u w:val="single"/>
        </w:rPr>
      </w:pPr>
    </w:p>
    <w:p w14:paraId="0AC853D5" w14:textId="12F4CF12" w:rsidR="000C6B4E" w:rsidRPr="009372B7" w:rsidRDefault="000C6B4E" w:rsidP="00007861">
      <w:pPr>
        <w:pStyle w:val="Heading2"/>
      </w:pPr>
      <w:bookmarkStart w:id="64" w:name="_Toc123110912"/>
      <w:bookmarkStart w:id="65" w:name="_Toc171786610"/>
      <w:bookmarkStart w:id="66" w:name="_Toc171786708"/>
      <w:r w:rsidRPr="009372B7">
        <w:t>5.</w:t>
      </w:r>
      <w:r w:rsidR="00D01390">
        <w:t>5</w:t>
      </w:r>
      <w:r w:rsidRPr="009372B7">
        <w:t>.</w:t>
      </w:r>
      <w:r>
        <w:t>4</w:t>
      </w:r>
      <w:r w:rsidRPr="009372B7">
        <w:t xml:space="preserve"> Workers’ Compensation Requirements</w:t>
      </w:r>
      <w:bookmarkEnd w:id="64"/>
      <w:bookmarkEnd w:id="65"/>
      <w:bookmarkEnd w:id="66"/>
    </w:p>
    <w:p w14:paraId="4244D7BA" w14:textId="77777777" w:rsidR="000C6B4E" w:rsidRPr="000B4E11" w:rsidRDefault="000C6B4E" w:rsidP="009333F8">
      <w:pPr>
        <w:rPr>
          <w:szCs w:val="22"/>
        </w:rPr>
      </w:pPr>
    </w:p>
    <w:p w14:paraId="6614C562" w14:textId="76FAD36B" w:rsidR="000C6B4E" w:rsidRPr="000B4E11" w:rsidRDefault="00A965D5" w:rsidP="009333F8">
      <w:pPr>
        <w:pStyle w:val="ACDBGBODYArial11"/>
        <w:spacing w:line="240" w:lineRule="auto"/>
      </w:pPr>
      <w:r>
        <w:rPr>
          <w:lang w:val="en-US"/>
        </w:rPr>
        <w:t xml:space="preserve">The </w:t>
      </w:r>
      <w:r w:rsidR="000C6B4E" w:rsidRPr="000B4E11">
        <w:t>Texas Labor Code</w:t>
      </w:r>
      <w:r w:rsidR="00774A56">
        <w:rPr>
          <w:lang w:val="en-US"/>
        </w:rPr>
        <w:t xml:space="preserve"> </w:t>
      </w:r>
      <w:r w:rsidR="000C6B4E" w:rsidRPr="000B4E11">
        <w:t xml:space="preserve">requires a governmental entity that </w:t>
      </w:r>
      <w:proofErr w:type="gramStart"/>
      <w:r w:rsidR="000C6B4E" w:rsidRPr="000B4E11">
        <w:t>enters into</w:t>
      </w:r>
      <w:proofErr w:type="gramEnd"/>
      <w:r w:rsidR="000C6B4E" w:rsidRPr="000B4E11">
        <w:t xml:space="preserve"> a building or construction contract to obtain written certification that the </w:t>
      </w:r>
      <w:r w:rsidR="000C6B4E" w:rsidRPr="000B4E11">
        <w:rPr>
          <w:color w:val="000000"/>
        </w:rPr>
        <w:t xml:space="preserve">contractor provides workers' compensation insurance coverage for each employee of the contractor </w:t>
      </w:r>
      <w:r w:rsidR="000C6B4E">
        <w:rPr>
          <w:color w:val="000000"/>
        </w:rPr>
        <w:t>employed on the public project.</w:t>
      </w:r>
      <w:r w:rsidR="00774A56">
        <w:rPr>
          <w:rStyle w:val="FootnoteReference"/>
          <w:color w:val="000000"/>
        </w:rPr>
        <w:footnoteReference w:id="31"/>
      </w:r>
      <w:r w:rsidR="000C6B4E" w:rsidRPr="000B4E11">
        <w:rPr>
          <w:color w:val="000000"/>
        </w:rPr>
        <w:t xml:space="preserve"> Subcontractors must also provide the governmental</w:t>
      </w:r>
      <w:r w:rsidR="000C6B4E">
        <w:rPr>
          <w:color w:val="000000"/>
        </w:rPr>
        <w:t xml:space="preserve"> entity with proof of coverage.</w:t>
      </w:r>
      <w:r w:rsidR="000C6B4E">
        <w:rPr>
          <w:color w:val="000000"/>
          <w:lang w:val="en-US"/>
        </w:rPr>
        <w:t xml:space="preserve"> </w:t>
      </w:r>
      <w:r w:rsidR="000C6B4E" w:rsidRPr="000B4E11">
        <w:rPr>
          <w:color w:val="000000"/>
        </w:rPr>
        <w:t xml:space="preserve">Additionally, the governmental entity must include in bid specifications and contracts specific language and provisions found in 28 </w:t>
      </w:r>
      <w:r w:rsidR="000C6B4E">
        <w:rPr>
          <w:color w:val="000000"/>
          <w:lang w:val="en-US"/>
        </w:rPr>
        <w:t>Texas Administrative Code (</w:t>
      </w:r>
      <w:r w:rsidR="000C6B4E">
        <w:t>TAC</w:t>
      </w:r>
      <w:r w:rsidR="000C6B4E">
        <w:rPr>
          <w:lang w:val="en-US"/>
        </w:rPr>
        <w:t>)</w:t>
      </w:r>
      <w:r w:rsidR="000C6B4E">
        <w:t xml:space="preserve"> §110.110(c)(7).</w:t>
      </w:r>
      <w:r w:rsidR="000C6B4E" w:rsidRPr="000B4E11">
        <w:t xml:space="preserve"> Grant Recipients are responsible for compliance with all applicable</w:t>
      </w:r>
      <w:r w:rsidR="000C6B4E">
        <w:t xml:space="preserve"> statutory policies.</w:t>
      </w:r>
      <w:r w:rsidR="000C6B4E" w:rsidRPr="000B4E11">
        <w:t xml:space="preserve"> The Texas Department of Insurance</w:t>
      </w:r>
      <w:r w:rsidR="000C6B4E">
        <w:rPr>
          <w:lang w:val="en-US"/>
        </w:rPr>
        <w:t xml:space="preserve">, </w:t>
      </w:r>
      <w:r w:rsidR="000C6B4E" w:rsidRPr="000B4E11">
        <w:t>Division of Workers’ Compensation regulates and enforces workers’ compensation requirements and may be contacted at 800-372-7713 for more information.</w:t>
      </w:r>
    </w:p>
    <w:p w14:paraId="0633592D" w14:textId="77777777" w:rsidR="000C6B4E" w:rsidRDefault="000C6B4E" w:rsidP="009333F8">
      <w:pPr>
        <w:jc w:val="both"/>
        <w:rPr>
          <w:rFonts w:cs="Arial"/>
          <w:szCs w:val="22"/>
          <w:u w:val="single"/>
        </w:rPr>
      </w:pPr>
    </w:p>
    <w:p w14:paraId="7AF0CDF0" w14:textId="0E24D207" w:rsidR="000C6B4E" w:rsidRPr="00334371" w:rsidRDefault="000C6B4E" w:rsidP="00007861">
      <w:pPr>
        <w:pStyle w:val="Heading2"/>
      </w:pPr>
      <w:bookmarkStart w:id="67" w:name="_Toc123110913"/>
      <w:bookmarkStart w:id="68" w:name="_Toc171786611"/>
      <w:bookmarkStart w:id="69" w:name="_Toc171786709"/>
      <w:r w:rsidRPr="00334371">
        <w:t>5.</w:t>
      </w:r>
      <w:r w:rsidR="00D01390">
        <w:t>5</w:t>
      </w:r>
      <w:r w:rsidRPr="00334371">
        <w:t>.</w:t>
      </w:r>
      <w:r>
        <w:t>5</w:t>
      </w:r>
      <w:r w:rsidRPr="00334371">
        <w:t xml:space="preserve"> Bonding Information</w:t>
      </w:r>
      <w:bookmarkEnd w:id="67"/>
      <w:bookmarkEnd w:id="68"/>
      <w:bookmarkEnd w:id="69"/>
    </w:p>
    <w:p w14:paraId="0319720B" w14:textId="77777777" w:rsidR="000C6B4E" w:rsidRDefault="000C6B4E" w:rsidP="009333F8">
      <w:pPr>
        <w:jc w:val="both"/>
        <w:rPr>
          <w:rFonts w:cs="Arial"/>
          <w:szCs w:val="22"/>
        </w:rPr>
      </w:pPr>
    </w:p>
    <w:p w14:paraId="0238BB3C" w14:textId="77777777" w:rsidR="000C6B4E" w:rsidRDefault="000C6B4E" w:rsidP="009333F8">
      <w:pPr>
        <w:pStyle w:val="ACDBGBODYArial11"/>
        <w:spacing w:line="240" w:lineRule="auto"/>
        <w:rPr>
          <w:lang w:val="en-US"/>
        </w:rPr>
      </w:pPr>
      <w:r>
        <w:t>Grant Recipients must ensure that they are meeting all applicable federal, state and local bonding and procurement requirements.</w:t>
      </w:r>
      <w:r>
        <w:rPr>
          <w:lang w:val="en-US"/>
        </w:rPr>
        <w:t xml:space="preserve"> </w:t>
      </w:r>
    </w:p>
    <w:p w14:paraId="557398DB" w14:textId="77777777" w:rsidR="000C6B4E" w:rsidRDefault="000C6B4E" w:rsidP="009333F8">
      <w:pPr>
        <w:pStyle w:val="ACDBGBODYArial11"/>
        <w:spacing w:line="240" w:lineRule="auto"/>
        <w:rPr>
          <w:lang w:val="en-US"/>
        </w:rPr>
      </w:pPr>
    </w:p>
    <w:p w14:paraId="4EBBF2E7" w14:textId="77777777" w:rsidR="000C6B4E" w:rsidRPr="00725FE3" w:rsidRDefault="000C6B4E" w:rsidP="009333F8">
      <w:pPr>
        <w:pStyle w:val="ACDBGBODYArial11"/>
        <w:spacing w:line="240" w:lineRule="auto"/>
        <w:rPr>
          <w:lang w:val="en-US"/>
        </w:rPr>
      </w:pPr>
      <w:r>
        <w:rPr>
          <w:lang w:val="en-US"/>
        </w:rPr>
        <w:t>F</w:t>
      </w:r>
      <w:r>
        <w:t>or construction or facility improvement contracts or subcontracts, the minimum bonding requirements for the Grant Recipient which includes a performance bond and a payment bond</w:t>
      </w:r>
      <w:r>
        <w:rPr>
          <w:lang w:val="en-US"/>
        </w:rPr>
        <w:t xml:space="preserve">, </w:t>
      </w:r>
      <w:r>
        <w:t>if applicable</w:t>
      </w:r>
      <w:r>
        <w:rPr>
          <w:lang w:val="en-US"/>
        </w:rPr>
        <w:t xml:space="preserve">, </w:t>
      </w:r>
      <w:r>
        <w:t>are as follows</w:t>
      </w:r>
      <w:r>
        <w:rPr>
          <w:lang w:val="en-US"/>
        </w:rPr>
        <w:t>:</w:t>
      </w:r>
    </w:p>
    <w:p w14:paraId="1B6268F4" w14:textId="572B439B" w:rsidR="000C6B4E" w:rsidRDefault="000C6B4E" w:rsidP="009333F8">
      <w:pPr>
        <w:pStyle w:val="BULLETS"/>
        <w:spacing w:line="240" w:lineRule="auto"/>
      </w:pPr>
      <w:r>
        <w:t xml:space="preserve">A </w:t>
      </w:r>
      <w:r w:rsidRPr="001C3FFF">
        <w:rPr>
          <w:b/>
          <w:bCs/>
        </w:rPr>
        <w:t>performance bond</w:t>
      </w:r>
      <w:r>
        <w:t xml:space="preserve"> on the part of the contractor for 100 percent of the contract price for contracts that </w:t>
      </w:r>
      <w:r w:rsidR="00F54366">
        <w:t>are</w:t>
      </w:r>
      <w:r>
        <w:t xml:space="preserve"> greater than $100,000. A </w:t>
      </w:r>
      <w:r w:rsidRPr="006E6B69">
        <w:rPr>
          <w:b/>
          <w:bCs/>
        </w:rPr>
        <w:t>performance bond</w:t>
      </w:r>
      <w:r>
        <w:t xml:space="preserve"> is one executed in connection with a contract to secure fulfillment of all the contractor's obligations under such contract</w:t>
      </w:r>
      <w:r w:rsidR="00D57367">
        <w:t>.</w:t>
      </w:r>
      <w:r w:rsidR="00D57367">
        <w:rPr>
          <w:rStyle w:val="FootnoteReference"/>
        </w:rPr>
        <w:footnoteReference w:id="32"/>
      </w:r>
    </w:p>
    <w:p w14:paraId="296114BC" w14:textId="335A1944" w:rsidR="000C6B4E" w:rsidRDefault="000C6B4E" w:rsidP="009333F8">
      <w:pPr>
        <w:pStyle w:val="BULLETS"/>
        <w:spacing w:line="240" w:lineRule="auto"/>
      </w:pPr>
      <w:r>
        <w:t xml:space="preserve">A </w:t>
      </w:r>
      <w:r w:rsidRPr="006D46D7">
        <w:rPr>
          <w:b/>
          <w:bCs/>
        </w:rPr>
        <w:t>payment bond</w:t>
      </w:r>
      <w:r>
        <w:t xml:space="preserve"> is one executed in connection with a contract to assure payment as required by law of all persons supplying labor and/or material in the execution of the work provided for in the contract. Required payment bond(s) must be filed within 30 days from the date of the Notice of Award.</w:t>
      </w:r>
      <w:r w:rsidR="00D57367">
        <w:rPr>
          <w:rStyle w:val="FootnoteReference"/>
        </w:rPr>
        <w:footnoteReference w:id="33"/>
      </w:r>
      <w:r>
        <w:t xml:space="preserve"> </w:t>
      </w:r>
    </w:p>
    <w:p w14:paraId="0C653DB4" w14:textId="2F9B09A9" w:rsidR="000C6B4E" w:rsidRDefault="000C6B4E" w:rsidP="005F4682">
      <w:pPr>
        <w:pStyle w:val="BULLETS"/>
        <w:numPr>
          <w:ilvl w:val="0"/>
          <w:numId w:val="7"/>
        </w:numPr>
        <w:spacing w:line="240" w:lineRule="auto"/>
        <w:ind w:left="1080"/>
      </w:pPr>
      <w:r w:rsidRPr="005B4802">
        <w:rPr>
          <w:b/>
          <w:bCs/>
        </w:rPr>
        <w:t>Municipalities</w:t>
      </w:r>
      <w:r>
        <w:t xml:space="preserve">: If the contract is </w:t>
      </w:r>
      <w:proofErr w:type="gramStart"/>
      <w:r>
        <w:t>in excess of</w:t>
      </w:r>
      <w:proofErr w:type="gramEnd"/>
      <w:r>
        <w:t xml:space="preserve"> $50,000, a payment bond is required.</w:t>
      </w:r>
      <w:r w:rsidR="00D57367">
        <w:rPr>
          <w:rStyle w:val="FootnoteReference"/>
        </w:rPr>
        <w:footnoteReference w:id="34"/>
      </w:r>
      <w:r>
        <w:t xml:space="preserve"> </w:t>
      </w:r>
      <w:bookmarkStart w:id="70" w:name="_Hlk116468825"/>
    </w:p>
    <w:bookmarkEnd w:id="70"/>
    <w:p w14:paraId="22FCC7DB" w14:textId="3E8A06C9" w:rsidR="000C6B4E" w:rsidRDefault="000C6B4E" w:rsidP="005F4682">
      <w:pPr>
        <w:pStyle w:val="BULLETS"/>
        <w:numPr>
          <w:ilvl w:val="0"/>
          <w:numId w:val="7"/>
        </w:numPr>
        <w:spacing w:line="240" w:lineRule="auto"/>
        <w:ind w:left="1080"/>
      </w:pPr>
      <w:r w:rsidRPr="006E6B69">
        <w:rPr>
          <w:b/>
          <w:bCs/>
        </w:rPr>
        <w:t>Counties</w:t>
      </w:r>
      <w:r>
        <w:t>: If the contract exceeds $25,000, a payment bond is required.</w:t>
      </w:r>
      <w:r w:rsidR="00D57367">
        <w:rPr>
          <w:rStyle w:val="FootnoteReference"/>
        </w:rPr>
        <w:footnoteReference w:id="35"/>
      </w:r>
      <w:r>
        <w:t xml:space="preserve"> </w:t>
      </w:r>
    </w:p>
    <w:p w14:paraId="568BEF81" w14:textId="238452DC" w:rsidR="000C6B4E" w:rsidRPr="00EE4534" w:rsidRDefault="000C6B4E" w:rsidP="005F4682">
      <w:pPr>
        <w:pStyle w:val="ACDBGBODYArial11"/>
        <w:numPr>
          <w:ilvl w:val="0"/>
          <w:numId w:val="10"/>
        </w:numPr>
        <w:spacing w:line="240" w:lineRule="auto"/>
        <w:rPr>
          <w:lang w:val="en-US"/>
        </w:rPr>
      </w:pPr>
      <w:bookmarkStart w:id="71" w:name="_Hlk139584584"/>
      <w:r>
        <w:t xml:space="preserve">A </w:t>
      </w:r>
      <w:r w:rsidRPr="00EE4534">
        <w:rPr>
          <w:b/>
          <w:bCs/>
        </w:rPr>
        <w:t>bid bond</w:t>
      </w:r>
      <w:r>
        <w:t xml:space="preserve"> from each bidder equivalent to five percent of the bid price for contracts that are greater than $100,000. The </w:t>
      </w:r>
      <w:r w:rsidRPr="00EE4534">
        <w:rPr>
          <w:b/>
          <w:bCs/>
        </w:rPr>
        <w:t>bid guarantee</w:t>
      </w:r>
      <w:r>
        <w:t xml:space="preserve"> shall consist of a firm commitment issued by a surety company authorized by the Texas Department of Insurance accompanying a bid as assurance that the bidder will, upon acceptance of his bid, execute such contractual documents as may be required within the time specified.</w:t>
      </w:r>
      <w:r w:rsidR="00D57367">
        <w:rPr>
          <w:rStyle w:val="FootnoteReference"/>
        </w:rPr>
        <w:footnoteReference w:id="36"/>
      </w:r>
      <w:r>
        <w:t xml:space="preserve"> </w:t>
      </w:r>
    </w:p>
    <w:bookmarkEnd w:id="71"/>
    <w:p w14:paraId="517004A0" w14:textId="503A4983" w:rsidR="000C6B4E" w:rsidRPr="00AF7324" w:rsidRDefault="000C6B4E" w:rsidP="005F4682">
      <w:pPr>
        <w:pStyle w:val="ACDBGBODYArial11"/>
        <w:numPr>
          <w:ilvl w:val="0"/>
          <w:numId w:val="10"/>
        </w:numPr>
        <w:spacing w:line="240" w:lineRule="auto"/>
        <w:rPr>
          <w:lang w:val="en-US"/>
        </w:rPr>
      </w:pPr>
      <w:r>
        <w:rPr>
          <w:lang w:val="en-US"/>
        </w:rPr>
        <w:t xml:space="preserve">Bonds are not required on contracts for non-construction services, </w:t>
      </w:r>
      <w:r w:rsidR="00924175">
        <w:rPr>
          <w:lang w:val="en-US"/>
        </w:rPr>
        <w:t xml:space="preserve">vehicles, </w:t>
      </w:r>
      <w:r>
        <w:rPr>
          <w:lang w:val="en-US"/>
        </w:rPr>
        <w:t>equipment, or materials.</w:t>
      </w:r>
    </w:p>
    <w:p w14:paraId="516E4305" w14:textId="77777777" w:rsidR="000C6B4E" w:rsidRDefault="000C6B4E" w:rsidP="009333F8">
      <w:pPr>
        <w:jc w:val="both"/>
        <w:rPr>
          <w:rFonts w:cs="Arial"/>
          <w:color w:val="000000"/>
        </w:rPr>
      </w:pPr>
    </w:p>
    <w:p w14:paraId="0E0DE8F1" w14:textId="77777777" w:rsidR="000C6B4E" w:rsidRPr="00A31AF1" w:rsidRDefault="000C6B4E" w:rsidP="009333F8">
      <w:pPr>
        <w:jc w:val="both"/>
        <w:rPr>
          <w:rFonts w:cs="Arial"/>
          <w:color w:val="000000"/>
        </w:rPr>
      </w:pPr>
    </w:p>
    <w:p w14:paraId="46AE1C06" w14:textId="77777777" w:rsidR="000C6B4E" w:rsidRPr="009372B7" w:rsidRDefault="000C6B4E" w:rsidP="009333F8">
      <w:pPr>
        <w:pStyle w:val="Heading1"/>
      </w:pPr>
      <w:bookmarkStart w:id="72" w:name="_Toc123110914"/>
      <w:bookmarkStart w:id="73" w:name="_Toc171786612"/>
      <w:bookmarkStart w:id="74" w:name="_Toc171786710"/>
      <w:r w:rsidRPr="009372B7">
        <w:t>5.</w:t>
      </w:r>
      <w:r>
        <w:t>6</w:t>
      </w:r>
      <w:r w:rsidRPr="009372B7">
        <w:t xml:space="preserve"> Changes to an Executed Contract</w:t>
      </w:r>
      <w:bookmarkEnd w:id="72"/>
      <w:bookmarkEnd w:id="73"/>
      <w:bookmarkEnd w:id="74"/>
    </w:p>
    <w:p w14:paraId="2075EE0B" w14:textId="77777777" w:rsidR="000C6B4E" w:rsidRDefault="000C6B4E" w:rsidP="009333F8"/>
    <w:p w14:paraId="6739E9FF" w14:textId="77777777" w:rsidR="000C6B4E" w:rsidRPr="00B81846" w:rsidRDefault="000C6B4E" w:rsidP="009333F8">
      <w:pPr>
        <w:pStyle w:val="Arial14Bold"/>
      </w:pPr>
      <w:bookmarkStart w:id="75" w:name="_Toc123110915"/>
      <w:bookmarkStart w:id="76" w:name="_Toc171786613"/>
      <w:bookmarkStart w:id="77" w:name="_Toc171786711"/>
      <w:r>
        <w:t>5.6.1 Change Orders</w:t>
      </w:r>
      <w:bookmarkEnd w:id="75"/>
      <w:bookmarkEnd w:id="76"/>
      <w:bookmarkEnd w:id="77"/>
    </w:p>
    <w:p w14:paraId="33D2B8D9" w14:textId="77777777" w:rsidR="000C6B4E" w:rsidRDefault="000C6B4E" w:rsidP="009333F8">
      <w:pPr>
        <w:pStyle w:val="ACDBGBODYArial11"/>
        <w:spacing w:line="240" w:lineRule="auto"/>
      </w:pPr>
    </w:p>
    <w:p w14:paraId="550E4A20" w14:textId="77777777" w:rsidR="00B515A6" w:rsidRDefault="000C6B4E" w:rsidP="009333F8">
      <w:pPr>
        <w:pStyle w:val="ACDBGBODYArial11"/>
        <w:spacing w:line="240" w:lineRule="auto"/>
        <w:rPr>
          <w:lang w:val="en-US"/>
        </w:rPr>
      </w:pPr>
      <w:r w:rsidRPr="009372B7">
        <w:t>When changes to an executed cons</w:t>
      </w:r>
      <w:r w:rsidRPr="00777C0C">
        <w:rPr>
          <w:strike/>
          <w:color w:val="2F5496" w:themeColor="accent1" w:themeShade="BF"/>
        </w:rPr>
        <w:t>truction</w:t>
      </w:r>
      <w:r w:rsidRPr="00777C0C">
        <w:rPr>
          <w:strike/>
          <w:color w:val="2F5496" w:themeColor="accent1" w:themeShade="BF"/>
          <w:lang w:val="en-US"/>
        </w:rPr>
        <w:t>,</w:t>
      </w:r>
      <w:r w:rsidRPr="00777C0C">
        <w:rPr>
          <w:strike/>
          <w:color w:val="2F5496" w:themeColor="accent1" w:themeShade="BF"/>
        </w:rPr>
        <w:t xml:space="preserve"> materials</w:t>
      </w:r>
      <w:r w:rsidRPr="00777C0C">
        <w:rPr>
          <w:strike/>
          <w:color w:val="2F5496" w:themeColor="accent1" w:themeShade="BF"/>
          <w:lang w:val="en-US"/>
        </w:rPr>
        <w:t>, or equipment purchase</w:t>
      </w:r>
      <w:r w:rsidRPr="00777C0C">
        <w:rPr>
          <w:strike/>
          <w:color w:val="2F5496" w:themeColor="accent1" w:themeShade="BF"/>
        </w:rPr>
        <w:t xml:space="preserve"> </w:t>
      </w:r>
      <w:r w:rsidRPr="009372B7">
        <w:t>contract are necessary due to</w:t>
      </w:r>
      <w:r w:rsidR="00B515A6">
        <w:rPr>
          <w:lang w:val="en-US"/>
        </w:rPr>
        <w:t>:</w:t>
      </w:r>
    </w:p>
    <w:p w14:paraId="4AEFD77C" w14:textId="11783AE6" w:rsidR="00B515A6" w:rsidRPr="008A75F9" w:rsidRDefault="00B515A6" w:rsidP="005F4682">
      <w:pPr>
        <w:pStyle w:val="ACDBGBODYArial11"/>
        <w:numPr>
          <w:ilvl w:val="0"/>
          <w:numId w:val="11"/>
        </w:numPr>
        <w:spacing w:line="240" w:lineRule="auto"/>
      </w:pPr>
      <w:r>
        <w:rPr>
          <w:lang w:val="en-US"/>
        </w:rPr>
        <w:t>A</w:t>
      </w:r>
      <w:r w:rsidR="000C6B4E">
        <w:rPr>
          <w:lang w:val="en-US"/>
        </w:rPr>
        <w:t xml:space="preserve"> change in </w:t>
      </w:r>
      <w:proofErr w:type="gramStart"/>
      <w:r w:rsidR="000C6B4E">
        <w:rPr>
          <w:lang w:val="en-US"/>
        </w:rPr>
        <w:t>specifications</w:t>
      </w:r>
      <w:r>
        <w:rPr>
          <w:lang w:val="en-US"/>
        </w:rPr>
        <w:t>;</w:t>
      </w:r>
      <w:proofErr w:type="gramEnd"/>
    </w:p>
    <w:p w14:paraId="22C3F809" w14:textId="7E05BDF7" w:rsidR="00B515A6" w:rsidRPr="002A7365" w:rsidRDefault="00B515A6" w:rsidP="005F4682">
      <w:pPr>
        <w:pStyle w:val="ACDBGBODYArial11"/>
        <w:numPr>
          <w:ilvl w:val="0"/>
          <w:numId w:val="11"/>
        </w:numPr>
        <w:spacing w:line="240" w:lineRule="auto"/>
      </w:pPr>
      <w:r>
        <w:rPr>
          <w:lang w:val="en-US"/>
        </w:rPr>
        <w:t>A decrease</w:t>
      </w:r>
      <w:r w:rsidR="008A75F9">
        <w:rPr>
          <w:lang w:val="en-US"/>
        </w:rPr>
        <w:t xml:space="preserve"> </w:t>
      </w:r>
      <w:r w:rsidR="000C6B4E" w:rsidRPr="009372B7">
        <w:t xml:space="preserve">or increase in the quantity of work to be </w:t>
      </w:r>
      <w:proofErr w:type="gramStart"/>
      <w:r w:rsidR="000C6B4E" w:rsidRPr="009372B7">
        <w:t>performed</w:t>
      </w:r>
      <w:r>
        <w:rPr>
          <w:lang w:val="en-US"/>
        </w:rPr>
        <w:t>;</w:t>
      </w:r>
      <w:proofErr w:type="gramEnd"/>
    </w:p>
    <w:p w14:paraId="348D6E10" w14:textId="1E2479B4" w:rsidR="00B515A6" w:rsidRPr="008A75F9" w:rsidRDefault="00B515A6" w:rsidP="008D109D">
      <w:pPr>
        <w:pStyle w:val="ACDBGBODYArial11"/>
        <w:numPr>
          <w:ilvl w:val="0"/>
          <w:numId w:val="41"/>
        </w:numPr>
        <w:spacing w:line="240" w:lineRule="auto"/>
      </w:pPr>
      <w:r>
        <w:rPr>
          <w:lang w:val="en-US"/>
        </w:rPr>
        <w:t xml:space="preserve">A decrease or increase </w:t>
      </w:r>
      <w:r w:rsidR="000C6B4E" w:rsidRPr="009372B7">
        <w:t xml:space="preserve">of materials, equipment or supplies to be </w:t>
      </w:r>
      <w:proofErr w:type="gramStart"/>
      <w:r w:rsidR="000C6B4E" w:rsidRPr="009372B7">
        <w:t>furnished</w:t>
      </w:r>
      <w:r>
        <w:rPr>
          <w:lang w:val="en-US"/>
        </w:rPr>
        <w:t>;</w:t>
      </w:r>
      <w:proofErr w:type="gramEnd"/>
    </w:p>
    <w:p w14:paraId="41CE64FD" w14:textId="77777777" w:rsidR="008D4316" w:rsidRPr="00777C0C" w:rsidRDefault="00B515A6" w:rsidP="008D109D">
      <w:pPr>
        <w:pStyle w:val="ACDBGBODYArial11"/>
        <w:numPr>
          <w:ilvl w:val="0"/>
          <w:numId w:val="41"/>
        </w:numPr>
        <w:spacing w:line="240" w:lineRule="auto"/>
        <w:rPr>
          <w:color w:val="2F5496" w:themeColor="accent1" w:themeShade="BF"/>
        </w:rPr>
      </w:pPr>
      <w:r>
        <w:rPr>
          <w:lang w:val="en-US"/>
        </w:rPr>
        <w:t>A change in</w:t>
      </w:r>
      <w:r w:rsidR="000C6B4E">
        <w:rPr>
          <w:lang w:val="en-US"/>
        </w:rPr>
        <w:t xml:space="preserve"> </w:t>
      </w:r>
      <w:r>
        <w:rPr>
          <w:lang w:val="en-US"/>
        </w:rPr>
        <w:t xml:space="preserve">the </w:t>
      </w:r>
      <w:r w:rsidR="000C6B4E">
        <w:rPr>
          <w:lang w:val="en-US"/>
        </w:rPr>
        <w:t>contract duration</w:t>
      </w:r>
      <w:r w:rsidR="008D4316">
        <w:rPr>
          <w:lang w:val="en-US"/>
        </w:rPr>
        <w:t xml:space="preserve">; </w:t>
      </w:r>
      <w:r w:rsidR="008D4316" w:rsidRPr="00777C0C">
        <w:rPr>
          <w:color w:val="2F5496" w:themeColor="accent1" w:themeShade="BF"/>
          <w:lang w:val="en-US"/>
        </w:rPr>
        <w:t>or</w:t>
      </w:r>
    </w:p>
    <w:p w14:paraId="7FBCA6C8" w14:textId="77777777" w:rsidR="008D4316" w:rsidRPr="00777C0C" w:rsidRDefault="008D4316" w:rsidP="008D4316">
      <w:pPr>
        <w:pStyle w:val="ACDBGBODYArial11"/>
        <w:numPr>
          <w:ilvl w:val="0"/>
          <w:numId w:val="41"/>
        </w:numPr>
        <w:spacing w:line="240" w:lineRule="auto"/>
        <w:rPr>
          <w:color w:val="2F5496" w:themeColor="accent1" w:themeShade="BF"/>
        </w:rPr>
      </w:pPr>
      <w:r w:rsidRPr="00777C0C">
        <w:rPr>
          <w:color w:val="2F5496" w:themeColor="accent1" w:themeShade="BF"/>
          <w:lang w:val="en-US"/>
        </w:rPr>
        <w:t>A change to other terms of a vendor contract.</w:t>
      </w:r>
    </w:p>
    <w:p w14:paraId="73571B78" w14:textId="77777777" w:rsidR="0073694B" w:rsidRDefault="0073694B" w:rsidP="009333F8">
      <w:pPr>
        <w:pStyle w:val="ACDBGBODYArial11"/>
        <w:spacing w:line="240" w:lineRule="auto"/>
        <w:ind w:left="720" w:hanging="660"/>
        <w:rPr>
          <w:lang w:val="en-US"/>
        </w:rPr>
      </w:pPr>
    </w:p>
    <w:p w14:paraId="360A352C" w14:textId="51A0ACCF" w:rsidR="000C6B4E" w:rsidRPr="009372B7" w:rsidRDefault="00B515A6" w:rsidP="00867D83">
      <w:pPr>
        <w:pStyle w:val="ACDBGBODYArial11"/>
        <w:spacing w:line="240" w:lineRule="auto"/>
        <w:ind w:left="60"/>
      </w:pPr>
      <w:proofErr w:type="spellStart"/>
      <w:r>
        <w:rPr>
          <w:lang w:val="en-US"/>
        </w:rPr>
        <w:t>T</w:t>
      </w:r>
      <w:r w:rsidR="000C6B4E" w:rsidRPr="009372B7">
        <w:t>he</w:t>
      </w:r>
      <w:proofErr w:type="spellEnd"/>
      <w:r w:rsidR="000C6B4E" w:rsidRPr="009372B7">
        <w:t xml:space="preserve"> </w:t>
      </w:r>
      <w:r w:rsidR="00D57367">
        <w:rPr>
          <w:lang w:val="en-US"/>
        </w:rPr>
        <w:t>change</w:t>
      </w:r>
      <w:r w:rsidR="000C6B4E" w:rsidRPr="009372B7">
        <w:t xml:space="preserve"> must </w:t>
      </w:r>
      <w:r w:rsidR="000C6B4E">
        <w:rPr>
          <w:lang w:val="en-US"/>
        </w:rPr>
        <w:t>be documented through a change order or addendum to the contract.</w:t>
      </w:r>
      <w:r w:rsidR="000C6B4E">
        <w:t xml:space="preserve"> </w:t>
      </w:r>
      <w:r w:rsidR="000C6B4E">
        <w:rPr>
          <w:lang w:val="en-US"/>
        </w:rPr>
        <w:t xml:space="preserve">In addition, the Grant Recipient must complete the MSR Change Request form in TDA-GO. </w:t>
      </w:r>
      <w:r w:rsidR="000C6B4E" w:rsidRPr="009E2A4F">
        <w:rPr>
          <w:b/>
          <w:bCs/>
        </w:rPr>
        <w:t>TDA must approve all change orders</w:t>
      </w:r>
      <w:r w:rsidR="000C6B4E" w:rsidRPr="009372B7">
        <w:t xml:space="preserve"> to ensure costs are eligible and procured according to TxCDBG requirements. </w:t>
      </w:r>
    </w:p>
    <w:p w14:paraId="40A6B8BE" w14:textId="77777777" w:rsidR="000C6B4E" w:rsidRDefault="000C6B4E" w:rsidP="009333F8"/>
    <w:p w14:paraId="11E1A81D" w14:textId="77777777" w:rsidR="000C6B4E" w:rsidRPr="00BF6BA8" w:rsidRDefault="000C6B4E" w:rsidP="009333F8">
      <w:pPr>
        <w:pStyle w:val="BULLETS"/>
        <w:numPr>
          <w:ilvl w:val="0"/>
          <w:numId w:val="0"/>
        </w:numPr>
        <w:spacing w:line="240" w:lineRule="auto"/>
        <w:ind w:right="-162"/>
        <w:rPr>
          <w:b/>
          <w:bCs/>
        </w:rPr>
      </w:pPr>
      <w:r w:rsidRPr="00BF6BA8">
        <w:rPr>
          <w:b/>
          <w:bCs/>
        </w:rPr>
        <w:t>Minimum Requirements for Contract Changes</w:t>
      </w:r>
    </w:p>
    <w:p w14:paraId="18FB1BF5" w14:textId="77777777" w:rsidR="000C6B4E" w:rsidRPr="00961883" w:rsidRDefault="000C6B4E" w:rsidP="009333F8">
      <w:pPr>
        <w:pStyle w:val="BULLETS"/>
        <w:spacing w:line="240" w:lineRule="auto"/>
        <w:ind w:right="-162"/>
      </w:pPr>
      <w:r w:rsidRPr="00961883">
        <w:t>Grant Recipient must have sufficient grant or local funds available to meet any increased costs.</w:t>
      </w:r>
    </w:p>
    <w:p w14:paraId="746C3B0D" w14:textId="77777777" w:rsidR="000C6B4E" w:rsidRDefault="000C6B4E" w:rsidP="009333F8">
      <w:pPr>
        <w:pStyle w:val="BULLETS"/>
        <w:spacing w:line="240" w:lineRule="auto"/>
      </w:pPr>
      <w:r w:rsidRPr="00350863">
        <w:t>Changes requested that are not directly related to the construction project and/or</w:t>
      </w:r>
      <w:r w:rsidRPr="00AB15BD">
        <w:t xml:space="preserve"> requesting </w:t>
      </w:r>
      <w:r w:rsidRPr="00EC689B">
        <w:t>additional</w:t>
      </w:r>
      <w:r w:rsidRPr="00563B79">
        <w:t xml:space="preserve"> supplies and or activities </w:t>
      </w:r>
      <w:r>
        <w:t xml:space="preserve">solely </w:t>
      </w:r>
      <w:r w:rsidRPr="00563B79">
        <w:t xml:space="preserve">due to </w:t>
      </w:r>
      <w:r>
        <w:t>unused</w:t>
      </w:r>
      <w:r w:rsidRPr="00042610">
        <w:t xml:space="preserve"> grant funds will n</w:t>
      </w:r>
      <w:r w:rsidRPr="00E25EB8">
        <w:t xml:space="preserve">ot be approved. </w:t>
      </w:r>
    </w:p>
    <w:p w14:paraId="772252A3" w14:textId="7A8B295F" w:rsidR="000C6B4E" w:rsidRDefault="000C6B4E" w:rsidP="009333F8">
      <w:pPr>
        <w:pStyle w:val="BULLETS"/>
        <w:spacing w:line="240" w:lineRule="auto"/>
      </w:pPr>
      <w:r w:rsidRPr="009A3E34">
        <w:t>Changes</w:t>
      </w:r>
      <w:r w:rsidRPr="001E615B">
        <w:t xml:space="preserve"> </w:t>
      </w:r>
      <w:r w:rsidRPr="006E0F53">
        <w:t>must be appropriate and required for the specific</w:t>
      </w:r>
      <w:r>
        <w:t xml:space="preserve"> TxCDBG</w:t>
      </w:r>
      <w:r w:rsidRPr="006E0F53">
        <w:t xml:space="preserve"> project. </w:t>
      </w:r>
    </w:p>
    <w:p w14:paraId="41023752" w14:textId="6A572D26" w:rsidR="00DE2EB4" w:rsidRPr="00057E28" w:rsidRDefault="00DE2EB4" w:rsidP="00DE2EB4">
      <w:pPr>
        <w:pStyle w:val="BULLETS"/>
        <w:spacing w:line="240" w:lineRule="auto"/>
        <w:ind w:right="18"/>
      </w:pPr>
      <w:r>
        <w:t xml:space="preserve">Change orders that include new items must demonstrate competitive pricing. </w:t>
      </w:r>
      <w:r w:rsidRPr="008B3FFB">
        <w:t xml:space="preserve">A statement from the project engineer providing justification for the proposed pricing may be acceptable. TDA may request more supporting documentation for new items that differ significantly from the </w:t>
      </w:r>
      <w:r w:rsidRPr="00057E28">
        <w:t>original bid, e.g., additional work added to grant contract due to available funds.</w:t>
      </w:r>
    </w:p>
    <w:p w14:paraId="0AC4FF55" w14:textId="47BF14AD" w:rsidR="00DE2EB4" w:rsidRPr="00057E28" w:rsidRDefault="00DE2EB4" w:rsidP="009333F8">
      <w:pPr>
        <w:pStyle w:val="BULLETS"/>
        <w:spacing w:line="240" w:lineRule="auto"/>
      </w:pPr>
      <w:r w:rsidRPr="00057E28">
        <w:t>Change orders replacing the originally described work with a different material or construction method must clearly identify the change in specifications. Best practice: eliminate the original line item and enter a new line item with the proposed</w:t>
      </w:r>
      <w:r w:rsidR="00FA2C32" w:rsidRPr="00057E28">
        <w:t xml:space="preserve"> changes</w:t>
      </w:r>
      <w:r w:rsidR="00ED229C" w:rsidRPr="00057E28">
        <w:t>.</w:t>
      </w:r>
      <w:r w:rsidRPr="00057E28">
        <w:t xml:space="preserve"> </w:t>
      </w:r>
    </w:p>
    <w:p w14:paraId="12D8E736" w14:textId="0D7A0775" w:rsidR="000C6B4E" w:rsidRPr="00057E28" w:rsidRDefault="000C6B4E" w:rsidP="009333F8">
      <w:pPr>
        <w:pStyle w:val="BULLETS"/>
        <w:spacing w:line="240" w:lineRule="auto"/>
      </w:pPr>
      <w:r w:rsidRPr="00057E28">
        <w:t>Change orders requesting revisions to a unit price determined through the competitive procurement process will not be approved.</w:t>
      </w:r>
      <w:r w:rsidR="00867D83" w:rsidRPr="00057E28">
        <w:t xml:space="preserve"> </w:t>
      </w:r>
      <w:r w:rsidR="00DE2EB4" w:rsidRPr="00057E28">
        <w:t>A Grant Recipient cannot negotiate a discounted cost for the same work. All costs for the revised line item will be disallowed if the unit price is changed.</w:t>
      </w:r>
    </w:p>
    <w:p w14:paraId="6A280418" w14:textId="3CBEE311" w:rsidR="00F852D0" w:rsidRPr="00057E28" w:rsidRDefault="00F852D0" w:rsidP="009333F8">
      <w:pPr>
        <w:pStyle w:val="BULLETS"/>
        <w:spacing w:line="240" w:lineRule="auto"/>
      </w:pPr>
      <w:r w:rsidRPr="00057E28">
        <w:t>Change orders that request “remobilization” costs must demonstrate that:</w:t>
      </w:r>
    </w:p>
    <w:p w14:paraId="11119617" w14:textId="632454E7" w:rsidR="00F852D0" w:rsidRPr="00057E28" w:rsidRDefault="00F852D0" w:rsidP="008D109D">
      <w:pPr>
        <w:pStyle w:val="BULLETS"/>
        <w:numPr>
          <w:ilvl w:val="1"/>
          <w:numId w:val="4"/>
        </w:numPr>
        <w:spacing w:line="240" w:lineRule="auto"/>
        <w:ind w:left="1080"/>
      </w:pPr>
      <w:r w:rsidRPr="00057E28">
        <w:t xml:space="preserve">Remobilization costs are necessary and reasonable, </w:t>
      </w:r>
    </w:p>
    <w:p w14:paraId="1C5543AE" w14:textId="6CAC7B06" w:rsidR="00F852D0" w:rsidRPr="00057E28" w:rsidRDefault="00F852D0" w:rsidP="008D109D">
      <w:pPr>
        <w:pStyle w:val="BULLETS"/>
        <w:numPr>
          <w:ilvl w:val="1"/>
          <w:numId w:val="4"/>
        </w:numPr>
        <w:spacing w:line="240" w:lineRule="auto"/>
        <w:ind w:left="1080"/>
      </w:pPr>
      <w:r w:rsidRPr="00057E28">
        <w:t>The need for remobilization is beyond the Grant Recipient’s control, and</w:t>
      </w:r>
    </w:p>
    <w:p w14:paraId="23647AA6" w14:textId="483A209C" w:rsidR="00F852D0" w:rsidRPr="00057E28" w:rsidRDefault="00F852D0" w:rsidP="008D109D">
      <w:pPr>
        <w:pStyle w:val="BULLETS"/>
        <w:numPr>
          <w:ilvl w:val="1"/>
          <w:numId w:val="4"/>
        </w:numPr>
        <w:spacing w:line="240" w:lineRule="auto"/>
        <w:ind w:left="1080"/>
      </w:pPr>
      <w:r w:rsidRPr="00057E28">
        <w:t xml:space="preserve">The Grant Recipient took proactive steps to resolve any outstanding issues, additional work, or other factors </w:t>
      </w:r>
      <w:proofErr w:type="gramStart"/>
      <w:r w:rsidRPr="00057E28">
        <w:t>in order to</w:t>
      </w:r>
      <w:proofErr w:type="gramEnd"/>
      <w:r w:rsidRPr="00057E28">
        <w:t xml:space="preserve"> avoid any remobilization. </w:t>
      </w:r>
    </w:p>
    <w:p w14:paraId="65AEC703" w14:textId="56496419" w:rsidR="00091B58" w:rsidRPr="00057E28" w:rsidRDefault="00091B58" w:rsidP="008D109D">
      <w:pPr>
        <w:pStyle w:val="BULLETS"/>
        <w:numPr>
          <w:ilvl w:val="1"/>
          <w:numId w:val="4"/>
        </w:numPr>
        <w:spacing w:line="240" w:lineRule="auto"/>
        <w:ind w:left="1080"/>
      </w:pPr>
      <w:r w:rsidRPr="00057E28">
        <w:t xml:space="preserve">Awaiting TDA approval for </w:t>
      </w:r>
      <w:r w:rsidR="00E22EF9">
        <w:t>G</w:t>
      </w:r>
      <w:r w:rsidRPr="00057E28">
        <w:t xml:space="preserve">rant </w:t>
      </w:r>
      <w:r w:rsidR="00E22EF9">
        <w:t>A</w:t>
      </w:r>
      <w:r w:rsidRPr="00057E28">
        <w:t xml:space="preserve">greement amendments or MSR change orders is not </w:t>
      </w:r>
      <w:r w:rsidR="009A1DCF" w:rsidRPr="00057E28">
        <w:t>justification for remobilization costs unless all documentation is submitted a minimum of 30 days prior to the contractor’s demobilization.</w:t>
      </w:r>
    </w:p>
    <w:p w14:paraId="262AADB4" w14:textId="596CDC3C" w:rsidR="000C6B4E" w:rsidRDefault="000C6B4E" w:rsidP="009333F8">
      <w:pPr>
        <w:pStyle w:val="BULLETS"/>
        <w:spacing w:line="240" w:lineRule="auto"/>
      </w:pPr>
      <w:r w:rsidRPr="00057E28">
        <w:t xml:space="preserve">Change orders for an increase of more than </w:t>
      </w:r>
      <w:r w:rsidRPr="00354DA9">
        <w:t xml:space="preserve">25% will be rejected. </w:t>
      </w:r>
      <w:r>
        <w:t xml:space="preserve">The </w:t>
      </w:r>
      <w:r w:rsidRPr="00354DA9">
        <w:t xml:space="preserve">Grant Recipient must </w:t>
      </w:r>
      <w:r>
        <w:t xml:space="preserve">complete a separate procurement if the proposed additional work </w:t>
      </w:r>
      <w:r w:rsidRPr="00354DA9">
        <w:t xml:space="preserve">project </w:t>
      </w:r>
      <w:r>
        <w:t xml:space="preserve">exceeds </w:t>
      </w:r>
      <w:r w:rsidRPr="00354DA9">
        <w:t>25%</w:t>
      </w:r>
      <w:r>
        <w:t xml:space="preserve"> of the original contract</w:t>
      </w:r>
      <w:r w:rsidRPr="00354DA9">
        <w:t>.</w:t>
      </w:r>
      <w:r>
        <w:t xml:space="preserve"> </w:t>
      </w:r>
      <w:r w:rsidRPr="00354DA9">
        <w:t xml:space="preserve">The </w:t>
      </w:r>
      <w:r>
        <w:t>S</w:t>
      </w:r>
      <w:r w:rsidRPr="00354DA9">
        <w:t xml:space="preserve">tate of Texas considers </w:t>
      </w:r>
      <w:r w:rsidR="008D109D">
        <w:t xml:space="preserve">a change order </w:t>
      </w:r>
      <w:r w:rsidR="00C46CE4">
        <w:t>increas</w:t>
      </w:r>
      <w:r w:rsidR="008D109D">
        <w:t>ing</w:t>
      </w:r>
      <w:r w:rsidR="00C46CE4">
        <w:t xml:space="preserve"> </w:t>
      </w:r>
      <w:r w:rsidR="008D109D">
        <w:t xml:space="preserve">the original contract </w:t>
      </w:r>
      <w:r w:rsidRPr="00354DA9">
        <w:t>price of greater than 25% to be non-competitive, as other potential bidders did not have the opportunity to bid on the true scope of the project during the procurement process</w:t>
      </w:r>
      <w:r>
        <w:t>.</w:t>
      </w:r>
    </w:p>
    <w:p w14:paraId="4E5696E0" w14:textId="64DCCE01" w:rsidR="000C6B4E" w:rsidRPr="00BB0FCB" w:rsidRDefault="000C6B4E" w:rsidP="009333F8">
      <w:pPr>
        <w:pStyle w:val="BULLETS"/>
        <w:spacing w:line="240" w:lineRule="auto"/>
        <w:ind w:right="18"/>
      </w:pPr>
      <w:r w:rsidRPr="00BF030A">
        <w:t xml:space="preserve">If a </w:t>
      </w:r>
      <w:r>
        <w:t>c</w:t>
      </w:r>
      <w:r w:rsidRPr="00BF030A">
        <w:t xml:space="preserve">hange </w:t>
      </w:r>
      <w:r>
        <w:t>o</w:t>
      </w:r>
      <w:r w:rsidRPr="00BF030A">
        <w:t>rder involves a decrease or an increase of</w:t>
      </w:r>
      <w:r>
        <w:t xml:space="preserve"> greater than</w:t>
      </w:r>
      <w:r w:rsidRPr="00BF030A">
        <w:t xml:space="preserve"> $50,</w:t>
      </w:r>
      <w:r w:rsidRPr="00390852">
        <w:t>000, the Grant Recipient must receive appropriate approval by the governing body</w:t>
      </w:r>
      <w:r>
        <w:t>.</w:t>
      </w:r>
      <w:r w:rsidR="00D57367">
        <w:rPr>
          <w:rStyle w:val="FootnoteReference"/>
        </w:rPr>
        <w:footnoteReference w:id="37"/>
      </w:r>
      <w:r>
        <w:rPr>
          <w:b/>
        </w:rPr>
        <w:t xml:space="preserve"> </w:t>
      </w:r>
      <w:r w:rsidRPr="00350863">
        <w:rPr>
          <w:bCs/>
        </w:rPr>
        <w:t xml:space="preserve">In such cases, </w:t>
      </w:r>
      <w:r>
        <w:rPr>
          <w:bCs/>
        </w:rPr>
        <w:t xml:space="preserve">TDA will accept as confirmation that such approval has been obtained either the </w:t>
      </w:r>
      <w:r w:rsidRPr="00350863">
        <w:rPr>
          <w:bCs/>
        </w:rPr>
        <w:t xml:space="preserve">signature by the </w:t>
      </w:r>
      <w:r>
        <w:rPr>
          <w:bCs/>
        </w:rPr>
        <w:t>chief local official</w:t>
      </w:r>
      <w:r w:rsidRPr="00350863">
        <w:rPr>
          <w:bCs/>
        </w:rPr>
        <w:t xml:space="preserve"> on the Construction Change Order</w:t>
      </w:r>
      <w:r>
        <w:rPr>
          <w:bCs/>
        </w:rPr>
        <w:t xml:space="preserve"> or action by the Authorized Official to submit the change order request in TDA-GO.</w:t>
      </w:r>
    </w:p>
    <w:p w14:paraId="6AE6E9F6" w14:textId="03BC9D47" w:rsidR="000C6B4E" w:rsidRPr="009F4A23" w:rsidRDefault="000C6B4E" w:rsidP="009333F8">
      <w:pPr>
        <w:pStyle w:val="BULLETS"/>
        <w:spacing w:line="240" w:lineRule="auto"/>
        <w:ind w:right="18"/>
      </w:pPr>
      <w:r w:rsidRPr="00846D3D">
        <w:rPr>
          <w:b/>
        </w:rPr>
        <w:t>TDA strongly recommends that Grant Recipients obtain TDA approval before fully executing a change order or addendum with the contractor/service provider.</w:t>
      </w:r>
      <w:r>
        <w:rPr>
          <w:bCs/>
        </w:rPr>
        <w:t xml:space="preserve"> Before approving a change order for a construction contract, TDA must have confirmation via the TDA-GO form that both the Grant Recipient and project engineer have determined the proposed change is appropriate.</w:t>
      </w:r>
    </w:p>
    <w:p w14:paraId="37AA735C" w14:textId="77777777" w:rsidR="000C6B4E" w:rsidRDefault="000C6B4E" w:rsidP="009333F8">
      <w:pPr>
        <w:pStyle w:val="Box"/>
        <w:numPr>
          <w:ilvl w:val="0"/>
          <w:numId w:val="0"/>
        </w:numPr>
        <w:spacing w:after="0"/>
        <w:jc w:val="both"/>
        <w:rPr>
          <w:rFonts w:cs="Arial"/>
          <w:szCs w:val="22"/>
        </w:rPr>
      </w:pPr>
    </w:p>
    <w:p w14:paraId="211866F7" w14:textId="6302E186" w:rsidR="000C6B4E" w:rsidRPr="00BF6BA8" w:rsidRDefault="000C6B4E" w:rsidP="009333F8">
      <w:pPr>
        <w:pStyle w:val="ACDBGBODYArial11"/>
        <w:spacing w:line="240" w:lineRule="auto"/>
        <w:rPr>
          <w:b/>
          <w:bCs/>
        </w:rPr>
      </w:pPr>
      <w:r w:rsidRPr="00BF6BA8">
        <w:rPr>
          <w:b/>
          <w:bCs/>
        </w:rPr>
        <w:t xml:space="preserve">Examples of </w:t>
      </w:r>
      <w:r w:rsidRPr="00BF6BA8">
        <w:rPr>
          <w:b/>
          <w:bCs/>
          <w:lang w:val="en-US"/>
        </w:rPr>
        <w:t>Cost Justification</w:t>
      </w:r>
      <w:r w:rsidR="0073694B">
        <w:rPr>
          <w:b/>
          <w:bCs/>
          <w:lang w:val="en-US"/>
        </w:rPr>
        <w:t xml:space="preserve"> for New Items</w:t>
      </w:r>
    </w:p>
    <w:p w14:paraId="4032E3B4" w14:textId="7A28C2B6" w:rsidR="000C6B4E" w:rsidRPr="00C842FD" w:rsidRDefault="000C6B4E" w:rsidP="00007861">
      <w:pPr>
        <w:pStyle w:val="BULLETS"/>
        <w:spacing w:line="240" w:lineRule="auto"/>
      </w:pPr>
      <w:r w:rsidRPr="00C842FD">
        <w:t xml:space="preserve">Minor change in material size, comparable change in </w:t>
      </w:r>
      <w:proofErr w:type="gramStart"/>
      <w:r w:rsidRPr="00C842FD">
        <w:t>price</w:t>
      </w:r>
      <w:r w:rsidR="00191643">
        <w:t>;</w:t>
      </w:r>
      <w:proofErr w:type="gramEnd"/>
    </w:p>
    <w:p w14:paraId="7B563F49" w14:textId="1816D953" w:rsidR="000C6B4E" w:rsidRPr="00C842FD" w:rsidRDefault="000C6B4E" w:rsidP="00007861">
      <w:pPr>
        <w:pStyle w:val="BULLETS"/>
        <w:spacing w:line="240" w:lineRule="auto"/>
      </w:pPr>
      <w:r w:rsidRPr="00C842FD">
        <w:t>Cost is comparable to recent bids for similar projects in this area</w:t>
      </w:r>
      <w:r w:rsidR="00191643">
        <w:t>; or</w:t>
      </w:r>
    </w:p>
    <w:p w14:paraId="36C6DDFD" w14:textId="44733168" w:rsidR="000C6B4E" w:rsidRPr="00C842FD" w:rsidRDefault="000C6B4E" w:rsidP="00007861">
      <w:pPr>
        <w:pStyle w:val="BULLETS"/>
        <w:spacing w:line="240" w:lineRule="auto"/>
      </w:pPr>
      <w:r w:rsidRPr="00C842FD">
        <w:t>Cost is reasonable, accounting for material pricing plus labor costs</w:t>
      </w:r>
      <w:r w:rsidR="00191643">
        <w:t>.</w:t>
      </w:r>
    </w:p>
    <w:p w14:paraId="063F002A" w14:textId="77777777" w:rsidR="000C6B4E" w:rsidRPr="00E45B41" w:rsidRDefault="000C6B4E" w:rsidP="009333F8">
      <w:pPr>
        <w:pStyle w:val="Box"/>
        <w:numPr>
          <w:ilvl w:val="0"/>
          <w:numId w:val="0"/>
        </w:numPr>
        <w:spacing w:after="0"/>
        <w:ind w:left="720"/>
        <w:jc w:val="both"/>
        <w:rPr>
          <w:rFonts w:cs="Arial"/>
          <w:szCs w:val="22"/>
        </w:rPr>
      </w:pPr>
    </w:p>
    <w:p w14:paraId="39F60926" w14:textId="77777777" w:rsidR="000C6B4E" w:rsidRPr="00BF6BA8" w:rsidRDefault="000C6B4E" w:rsidP="009333F8">
      <w:pPr>
        <w:pStyle w:val="ACDBGBODYArial11"/>
        <w:spacing w:line="240" w:lineRule="auto"/>
        <w:rPr>
          <w:b/>
          <w:bCs/>
        </w:rPr>
      </w:pPr>
      <w:r w:rsidRPr="00BF6BA8">
        <w:rPr>
          <w:b/>
          <w:bCs/>
        </w:rPr>
        <w:t>Municipalities</w:t>
      </w:r>
    </w:p>
    <w:p w14:paraId="2EC9D1FE" w14:textId="37960D93" w:rsidR="000C6B4E" w:rsidRDefault="000C6B4E" w:rsidP="009333F8">
      <w:pPr>
        <w:pStyle w:val="BULLETS"/>
        <w:spacing w:line="240" w:lineRule="auto"/>
      </w:pPr>
      <w:r>
        <w:t>Change orders may not increase the original contract price by more than 25%.</w:t>
      </w:r>
      <w:r w:rsidR="00D57367">
        <w:rPr>
          <w:rStyle w:val="FootnoteReference"/>
        </w:rPr>
        <w:footnoteReference w:id="38"/>
      </w:r>
      <w:r>
        <w:t xml:space="preserve"> </w:t>
      </w:r>
    </w:p>
    <w:p w14:paraId="0F89D94A" w14:textId="13DC9D57" w:rsidR="000C6B4E" w:rsidRPr="00C033AD" w:rsidRDefault="000C6B4E" w:rsidP="009333F8">
      <w:pPr>
        <w:pStyle w:val="BULLETS"/>
        <w:spacing w:line="240" w:lineRule="auto"/>
      </w:pPr>
      <w:r>
        <w:t>Decreases in the original contract price of more than 25% require written contractor consent.</w:t>
      </w:r>
      <w:r w:rsidR="00D57367">
        <w:rPr>
          <w:rStyle w:val="FootnoteReference"/>
        </w:rPr>
        <w:footnoteReference w:id="39"/>
      </w:r>
    </w:p>
    <w:p w14:paraId="3661A175" w14:textId="77777777" w:rsidR="000C6B4E" w:rsidRDefault="000C6B4E" w:rsidP="009333F8">
      <w:pPr>
        <w:pStyle w:val="Box"/>
        <w:numPr>
          <w:ilvl w:val="0"/>
          <w:numId w:val="0"/>
        </w:numPr>
        <w:spacing w:after="0"/>
        <w:rPr>
          <w:rFonts w:cs="Arial"/>
          <w:szCs w:val="22"/>
        </w:rPr>
      </w:pPr>
    </w:p>
    <w:p w14:paraId="5A7BDA79" w14:textId="77777777" w:rsidR="000C6B4E" w:rsidRPr="00BF6BA8" w:rsidRDefault="000C6B4E" w:rsidP="009333F8">
      <w:pPr>
        <w:pStyle w:val="ACDBGBODYArial11"/>
        <w:spacing w:line="240" w:lineRule="auto"/>
        <w:rPr>
          <w:b/>
          <w:bCs/>
        </w:rPr>
      </w:pPr>
      <w:r w:rsidRPr="00BF6BA8">
        <w:rPr>
          <w:b/>
          <w:bCs/>
        </w:rPr>
        <w:t>Counties</w:t>
      </w:r>
    </w:p>
    <w:p w14:paraId="5C792D0C" w14:textId="7B1ABF89" w:rsidR="000C6B4E" w:rsidRPr="00C842FD" w:rsidRDefault="000C6B4E" w:rsidP="009333F8">
      <w:pPr>
        <w:pStyle w:val="BULLETS"/>
        <w:spacing w:line="240" w:lineRule="auto"/>
      </w:pPr>
      <w:r w:rsidRPr="00C842FD">
        <w:t>The original contract may not be increased by more than 25% unless required by state or federal law, rule or regulation after the contract is made.</w:t>
      </w:r>
      <w:r w:rsidR="006F2867" w:rsidRPr="006F2867">
        <w:t xml:space="preserve"> </w:t>
      </w:r>
      <w:r w:rsidR="006F2867" w:rsidRPr="00C842FD">
        <w:t>Grant Recipient must provide written justification, including citation to the appropriate source, for review</w:t>
      </w:r>
      <w:r w:rsidR="006F2867">
        <w:t>.</w:t>
      </w:r>
      <w:r w:rsidR="006F2867">
        <w:rPr>
          <w:rStyle w:val="FootnoteReference"/>
        </w:rPr>
        <w:t xml:space="preserve"> </w:t>
      </w:r>
      <w:r w:rsidR="00D57367">
        <w:rPr>
          <w:rStyle w:val="FootnoteReference"/>
        </w:rPr>
        <w:footnoteReference w:id="40"/>
      </w:r>
    </w:p>
    <w:p w14:paraId="403CFB24" w14:textId="352615F7" w:rsidR="000C6B4E" w:rsidRPr="00C842FD" w:rsidRDefault="000C6B4E" w:rsidP="009333F8">
      <w:pPr>
        <w:pStyle w:val="BULLETS"/>
        <w:spacing w:line="240" w:lineRule="auto"/>
      </w:pPr>
      <w:r w:rsidRPr="00C842FD">
        <w:t>Decreases to the original contract of more than 18% must have the contractor’s written consent.</w:t>
      </w:r>
      <w:r w:rsidR="00D57367">
        <w:rPr>
          <w:rStyle w:val="FootnoteReference"/>
        </w:rPr>
        <w:footnoteReference w:id="41"/>
      </w:r>
    </w:p>
    <w:p w14:paraId="3C0CAFF0" w14:textId="77777777" w:rsidR="0073694B" w:rsidRDefault="0073694B" w:rsidP="009333F8">
      <w:pPr>
        <w:pStyle w:val="ACDBGBODYArial11"/>
        <w:spacing w:line="240" w:lineRule="auto"/>
      </w:pPr>
    </w:p>
    <w:p w14:paraId="7E7B5E8E" w14:textId="2DB2B669" w:rsidR="000C6B4E" w:rsidRDefault="000C6B4E" w:rsidP="009333F8">
      <w:pPr>
        <w:pStyle w:val="ACDBGBODYArial11"/>
        <w:spacing w:line="240" w:lineRule="auto"/>
      </w:pPr>
      <w:r w:rsidRPr="00E45B41">
        <w:t>T</w:t>
      </w:r>
      <w:r w:rsidRPr="00C842FD">
        <w:t xml:space="preserve">DA will not reimburse the Grant Recipient or credit the Grant Recipient’s match commitment for work listed on a </w:t>
      </w:r>
      <w:r>
        <w:rPr>
          <w:lang w:val="en-US"/>
        </w:rPr>
        <w:t>change order</w:t>
      </w:r>
      <w:r w:rsidRPr="00C842FD">
        <w:t xml:space="preserve"> unless the </w:t>
      </w:r>
      <w:r w:rsidRPr="00BF6BA8">
        <w:rPr>
          <w:b/>
          <w:bCs/>
          <w:lang w:val="en-US"/>
        </w:rPr>
        <w:t>change order</w:t>
      </w:r>
      <w:r w:rsidRPr="00BF6BA8">
        <w:rPr>
          <w:b/>
          <w:bCs/>
        </w:rPr>
        <w:t xml:space="preserve"> has been submitted and approved.</w:t>
      </w:r>
      <w:r w:rsidRPr="00C842FD">
        <w:t xml:space="preserve"> Requests for </w:t>
      </w:r>
      <w:r>
        <w:rPr>
          <w:lang w:val="en-US"/>
        </w:rPr>
        <w:t>payment</w:t>
      </w:r>
      <w:r w:rsidRPr="00C842FD">
        <w:t xml:space="preserve"> for unapproved change orders will be put on hold at TDA’s discretion. </w:t>
      </w:r>
    </w:p>
    <w:p w14:paraId="5DE75C8E" w14:textId="77777777" w:rsidR="000C6B4E" w:rsidRDefault="000C6B4E" w:rsidP="009333F8">
      <w:pPr>
        <w:pStyle w:val="ACDBGBODYArial11"/>
        <w:spacing w:line="240" w:lineRule="auto"/>
      </w:pPr>
    </w:p>
    <w:p w14:paraId="0FD68DE1" w14:textId="77777777" w:rsidR="000C6B4E" w:rsidRPr="00730400" w:rsidRDefault="000C6B4E" w:rsidP="009333F8">
      <w:pPr>
        <w:pStyle w:val="ACDBGBODYArial11"/>
        <w:spacing w:line="240" w:lineRule="auto"/>
        <w:rPr>
          <w:b/>
          <w:bCs/>
        </w:rPr>
      </w:pPr>
      <w:r w:rsidRPr="00730400">
        <w:rPr>
          <w:b/>
          <w:bCs/>
        </w:rPr>
        <w:t xml:space="preserve">If the </w:t>
      </w:r>
      <w:r w:rsidRPr="00730400">
        <w:rPr>
          <w:b/>
          <w:bCs/>
          <w:lang w:val="en-US"/>
        </w:rPr>
        <w:t>change order</w:t>
      </w:r>
      <w:r w:rsidRPr="00730400">
        <w:rPr>
          <w:b/>
          <w:bCs/>
        </w:rPr>
        <w:t xml:space="preserve"> is executed without TDA approval, the Grant Recipient is obligated to pay for any changes that TDA does not approve. For these reasons, </w:t>
      </w:r>
      <w:r>
        <w:rPr>
          <w:b/>
          <w:bCs/>
          <w:lang w:val="en-US"/>
        </w:rPr>
        <w:t>TDA recommends</w:t>
      </w:r>
      <w:r w:rsidRPr="00730400">
        <w:rPr>
          <w:b/>
          <w:bCs/>
        </w:rPr>
        <w:t xml:space="preserve"> that the Grant Recipient submit the </w:t>
      </w:r>
      <w:r w:rsidRPr="00730400">
        <w:rPr>
          <w:b/>
          <w:bCs/>
          <w:lang w:val="en-US"/>
        </w:rPr>
        <w:t>change order</w:t>
      </w:r>
      <w:r w:rsidRPr="00730400">
        <w:rPr>
          <w:b/>
          <w:bCs/>
        </w:rPr>
        <w:t xml:space="preserve"> </w:t>
      </w:r>
      <w:r w:rsidRPr="00730400">
        <w:rPr>
          <w:b/>
          <w:bCs/>
          <w:lang w:val="en-US"/>
        </w:rPr>
        <w:t xml:space="preserve">to TDA </w:t>
      </w:r>
      <w:r w:rsidRPr="00730400">
        <w:rPr>
          <w:b/>
          <w:bCs/>
        </w:rPr>
        <w:t xml:space="preserve">prior to fully executing the </w:t>
      </w:r>
      <w:r w:rsidRPr="00730400">
        <w:rPr>
          <w:b/>
          <w:bCs/>
          <w:lang w:val="en-US"/>
        </w:rPr>
        <w:t>change order</w:t>
      </w:r>
      <w:r w:rsidRPr="00730400">
        <w:rPr>
          <w:b/>
          <w:bCs/>
        </w:rPr>
        <w:t>.</w:t>
      </w:r>
    </w:p>
    <w:p w14:paraId="350D9F7F" w14:textId="77777777" w:rsidR="000C6B4E" w:rsidRPr="00E45B41" w:rsidRDefault="000C6B4E" w:rsidP="009333F8">
      <w:pPr>
        <w:pStyle w:val="ACDBGBODYArial11"/>
        <w:spacing w:line="240" w:lineRule="auto"/>
      </w:pPr>
    </w:p>
    <w:p w14:paraId="66AC8BCC" w14:textId="24781441" w:rsidR="000C6B4E" w:rsidRPr="00B81846" w:rsidRDefault="000C6B4E" w:rsidP="009333F8">
      <w:pPr>
        <w:pStyle w:val="ACDBGBODYArial11"/>
        <w:spacing w:line="240" w:lineRule="auto"/>
      </w:pPr>
      <w:r w:rsidRPr="00E45B41">
        <w:t xml:space="preserve">Grant Recipients must submit </w:t>
      </w:r>
      <w:r w:rsidRPr="00C842FD">
        <w:rPr>
          <w:b/>
          <w:bCs/>
        </w:rPr>
        <w:t>all</w:t>
      </w:r>
      <w:r w:rsidRPr="00E45B41">
        <w:t xml:space="preserve"> </w:t>
      </w:r>
      <w:r>
        <w:rPr>
          <w:lang w:val="en-US"/>
        </w:rPr>
        <w:t>change orders</w:t>
      </w:r>
      <w:r w:rsidRPr="00E45B41">
        <w:t xml:space="preserve"> on a contract, whether or not the work will be paid with grant</w:t>
      </w:r>
      <w:r w:rsidR="00133576">
        <w:t xml:space="preserve"> funds, </w:t>
      </w:r>
      <w:r w:rsidRPr="00E45B41">
        <w:t>matching funds</w:t>
      </w:r>
      <w:r w:rsidR="00133576">
        <w:t xml:space="preserve"> or additional local costs</w:t>
      </w:r>
      <w:r w:rsidRPr="00E45B41">
        <w:t xml:space="preserve"> so that </w:t>
      </w:r>
      <w:r>
        <w:t xml:space="preserve">TDA’s </w:t>
      </w:r>
      <w:r w:rsidRPr="00E45B41">
        <w:t>TxCDBG staff has a complete record</w:t>
      </w:r>
      <w:r>
        <w:t xml:space="preserve"> of the contract.</w:t>
      </w:r>
      <w:r>
        <w:rPr>
          <w:lang w:val="en-US"/>
        </w:rPr>
        <w:t xml:space="preserve"> </w:t>
      </w:r>
      <w:r w:rsidR="00A03CA9" w:rsidRPr="002B05E9">
        <w:rPr>
          <w:color w:val="2F5496" w:themeColor="accent1" w:themeShade="BF"/>
          <w:lang w:val="en-US"/>
        </w:rPr>
        <w:t xml:space="preserve">Any additional work or activities reflected </w:t>
      </w:r>
      <w:proofErr w:type="gramStart"/>
      <w:r w:rsidR="00A03CA9" w:rsidRPr="002B05E9">
        <w:rPr>
          <w:color w:val="2F5496" w:themeColor="accent1" w:themeShade="BF"/>
          <w:lang w:val="en-US"/>
        </w:rPr>
        <w:t>on</w:t>
      </w:r>
      <w:proofErr w:type="gramEnd"/>
      <w:r w:rsidR="00A03CA9" w:rsidRPr="002B05E9">
        <w:rPr>
          <w:color w:val="2F5496" w:themeColor="accent1" w:themeShade="BF"/>
          <w:lang w:val="en-US"/>
        </w:rPr>
        <w:t xml:space="preserve"> a change order that </w:t>
      </w:r>
      <w:proofErr w:type="gramStart"/>
      <w:r w:rsidR="00A03CA9" w:rsidRPr="002B05E9">
        <w:rPr>
          <w:color w:val="2F5496" w:themeColor="accent1" w:themeShade="BF"/>
          <w:lang w:val="en-US"/>
        </w:rPr>
        <w:t>are  de</w:t>
      </w:r>
      <w:r w:rsidR="00946CB8" w:rsidRPr="002B05E9">
        <w:rPr>
          <w:color w:val="2F5496" w:themeColor="accent1" w:themeShade="BF"/>
          <w:lang w:val="en-US"/>
        </w:rPr>
        <w:t>termined</w:t>
      </w:r>
      <w:proofErr w:type="gramEnd"/>
      <w:r w:rsidR="00946CB8" w:rsidRPr="002B05E9">
        <w:rPr>
          <w:color w:val="2F5496" w:themeColor="accent1" w:themeShade="BF"/>
          <w:lang w:val="en-US"/>
        </w:rPr>
        <w:t xml:space="preserve"> to be </w:t>
      </w:r>
      <w:r w:rsidR="00A03CA9" w:rsidRPr="002B05E9">
        <w:rPr>
          <w:color w:val="2F5496" w:themeColor="accent1" w:themeShade="BF"/>
          <w:lang w:val="en-US"/>
        </w:rPr>
        <w:t>ineligible for grant or matching funds must be paid by the Grant Recipient.</w:t>
      </w:r>
      <w:r w:rsidR="00A03CA9">
        <w:rPr>
          <w:lang w:val="en-US"/>
        </w:rPr>
        <w:t xml:space="preserve"> </w:t>
      </w:r>
      <w:r w:rsidRPr="00E45B41">
        <w:t xml:space="preserve">Any difference in price </w:t>
      </w:r>
      <w:r w:rsidRPr="00B81846">
        <w:t xml:space="preserve">from </w:t>
      </w:r>
      <w:r>
        <w:rPr>
          <w:lang w:val="en-US"/>
        </w:rPr>
        <w:t>the</w:t>
      </w:r>
      <w:r w:rsidRPr="00B81846">
        <w:t xml:space="preserve"> </w:t>
      </w:r>
      <w:r>
        <w:rPr>
          <w:lang w:val="en-US"/>
        </w:rPr>
        <w:t>original contract</w:t>
      </w:r>
      <w:r w:rsidRPr="00B81846">
        <w:t xml:space="preserve"> to the </w:t>
      </w:r>
      <w:r w:rsidRPr="0064619E">
        <w:rPr>
          <w:iCs/>
        </w:rPr>
        <w:t>Certificate of Construction Completion</w:t>
      </w:r>
      <w:r w:rsidRPr="00B81846">
        <w:t xml:space="preserve"> </w:t>
      </w:r>
      <w:r w:rsidR="0064619E">
        <w:rPr>
          <w:lang w:val="en-US"/>
        </w:rPr>
        <w:t xml:space="preserve">(COCC) </w:t>
      </w:r>
      <w:r w:rsidRPr="00B81846">
        <w:t xml:space="preserve">must be accounted for by a </w:t>
      </w:r>
      <w:r>
        <w:rPr>
          <w:lang w:val="en-US"/>
        </w:rPr>
        <w:t>change order</w:t>
      </w:r>
      <w:r w:rsidRPr="00C842FD">
        <w:t>.</w:t>
      </w:r>
    </w:p>
    <w:p w14:paraId="047C07F3" w14:textId="77777777" w:rsidR="000C6B4E" w:rsidRPr="00E45B41" w:rsidRDefault="000C6B4E" w:rsidP="009333F8">
      <w:pPr>
        <w:pStyle w:val="ACDBGBODYArial11"/>
        <w:spacing w:line="240" w:lineRule="auto"/>
      </w:pPr>
    </w:p>
    <w:p w14:paraId="2549ABE7" w14:textId="13D059A4" w:rsidR="000C6B4E" w:rsidRDefault="000C6B4E" w:rsidP="009333F8">
      <w:pPr>
        <w:pStyle w:val="ACDBGBODYArial11"/>
        <w:spacing w:line="240" w:lineRule="auto"/>
      </w:pPr>
      <w:r w:rsidRPr="00E45B41">
        <w:t xml:space="preserve">Project changes reflected in a </w:t>
      </w:r>
      <w:r>
        <w:rPr>
          <w:lang w:val="en-US"/>
        </w:rPr>
        <w:t>change</w:t>
      </w:r>
      <w:r w:rsidRPr="00E45B41">
        <w:t xml:space="preserve"> </w:t>
      </w:r>
      <w:r>
        <w:rPr>
          <w:lang w:val="en-US"/>
        </w:rPr>
        <w:t>or</w:t>
      </w:r>
      <w:r w:rsidRPr="00E45B41">
        <w:t xml:space="preserve">der may also require an amendment to the TxCDBG </w:t>
      </w:r>
      <w:r w:rsidR="00446814">
        <w:rPr>
          <w:lang w:val="en-US"/>
        </w:rPr>
        <w:t>Grant Agreement</w:t>
      </w:r>
      <w:r w:rsidRPr="00E45B41">
        <w:t xml:space="preserve"> </w:t>
      </w:r>
      <w:r w:rsidR="00154D57">
        <w:rPr>
          <w:lang w:val="en-US"/>
        </w:rPr>
        <w:t>Performance Statement</w:t>
      </w:r>
      <w:r w:rsidRPr="00E45B41">
        <w:t xml:space="preserve"> or </w:t>
      </w:r>
      <w:r w:rsidR="0064619E">
        <w:rPr>
          <w:lang w:val="en-US"/>
        </w:rPr>
        <w:t>B</w:t>
      </w:r>
      <w:r>
        <w:rPr>
          <w:lang w:val="en-US"/>
        </w:rPr>
        <w:t xml:space="preserve">udget. </w:t>
      </w:r>
      <w:r w:rsidRPr="00E45B41">
        <w:t xml:space="preserve">These items </w:t>
      </w:r>
      <w:r w:rsidR="00E22EF9">
        <w:t>must</w:t>
      </w:r>
      <w:r w:rsidR="00E22EF9" w:rsidRPr="00E45B41">
        <w:t xml:space="preserve"> </w:t>
      </w:r>
      <w:r w:rsidRPr="00E45B41">
        <w:t xml:space="preserve">be submitted together as described in </w:t>
      </w:r>
      <w:r w:rsidRPr="00730400">
        <w:rPr>
          <w:bCs/>
          <w:i/>
          <w:iCs/>
          <w:lang w:val="en-US"/>
        </w:rPr>
        <w:t>Chapter</w:t>
      </w:r>
      <w:r w:rsidRPr="00730400">
        <w:rPr>
          <w:bCs/>
          <w:i/>
          <w:iCs/>
        </w:rPr>
        <w:t xml:space="preserve"> 11</w:t>
      </w:r>
      <w:r w:rsidRPr="00C842FD">
        <w:rPr>
          <w:bCs/>
        </w:rPr>
        <w:t xml:space="preserve"> </w:t>
      </w:r>
      <w:r w:rsidR="00446814">
        <w:rPr>
          <w:bCs/>
          <w:i/>
          <w:iCs/>
          <w:lang w:val="en-US"/>
        </w:rPr>
        <w:t>Grant Agreement</w:t>
      </w:r>
      <w:r w:rsidRPr="00846D3D">
        <w:rPr>
          <w:bCs/>
          <w:i/>
          <w:iCs/>
        </w:rPr>
        <w:t xml:space="preserve"> Amendments</w:t>
      </w:r>
      <w:r w:rsidRPr="00846D3D">
        <w:rPr>
          <w:i/>
          <w:iCs/>
        </w:rPr>
        <w:t>.</w:t>
      </w:r>
      <w:r w:rsidRPr="006723F1">
        <w:rPr>
          <w:noProof/>
        </w:rPr>
        <w:t xml:space="preserve"> </w:t>
      </w:r>
      <w:r w:rsidR="005B72F0" w:rsidRPr="002B05E9">
        <w:rPr>
          <w:noProof/>
          <w:color w:val="2F5496" w:themeColor="accent1" w:themeShade="BF"/>
        </w:rPr>
        <w:t>Typically, change orders do not contain sufficient information for TDA to determine if a performance statement amendment is appropriate. Therefore, i</w:t>
      </w:r>
      <w:r w:rsidR="00E22EF9" w:rsidRPr="002B05E9">
        <w:rPr>
          <w:noProof/>
          <w:color w:val="2F5496" w:themeColor="accent1" w:themeShade="BF"/>
        </w:rPr>
        <w:t xml:space="preserve">t is incumbent that the Grant Recipient determine if a change order requires an amendment to the performance statement or contact TDA for technical assistance. TDA’s approval of a change order can in no way be construed as </w:t>
      </w:r>
      <w:r w:rsidR="002618EF" w:rsidRPr="002B05E9">
        <w:rPr>
          <w:noProof/>
          <w:color w:val="2F5496" w:themeColor="accent1" w:themeShade="BF"/>
        </w:rPr>
        <w:t xml:space="preserve">TDA’s </w:t>
      </w:r>
      <w:r w:rsidR="00946CB8" w:rsidRPr="002B05E9">
        <w:rPr>
          <w:noProof/>
          <w:color w:val="2F5496" w:themeColor="accent1" w:themeShade="BF"/>
        </w:rPr>
        <w:t xml:space="preserve">approval </w:t>
      </w:r>
      <w:r w:rsidR="002618EF" w:rsidRPr="002B05E9">
        <w:rPr>
          <w:noProof/>
          <w:color w:val="2F5496" w:themeColor="accent1" w:themeShade="BF"/>
        </w:rPr>
        <w:t xml:space="preserve">of </w:t>
      </w:r>
      <w:r w:rsidR="008D109D" w:rsidRPr="002B05E9">
        <w:rPr>
          <w:noProof/>
          <w:color w:val="2F5496" w:themeColor="accent1" w:themeShade="BF"/>
        </w:rPr>
        <w:t>a required</w:t>
      </w:r>
      <w:r w:rsidR="00E22EF9" w:rsidRPr="002B05E9">
        <w:rPr>
          <w:noProof/>
          <w:color w:val="2F5496" w:themeColor="accent1" w:themeShade="BF"/>
        </w:rPr>
        <w:t xml:space="preserve"> </w:t>
      </w:r>
      <w:r w:rsidR="008D4316" w:rsidRPr="002B05E9">
        <w:rPr>
          <w:noProof/>
          <w:color w:val="2F5496" w:themeColor="accent1" w:themeShade="BF"/>
        </w:rPr>
        <w:t xml:space="preserve">grant agreement </w:t>
      </w:r>
      <w:r w:rsidR="00E22EF9" w:rsidRPr="002B05E9">
        <w:rPr>
          <w:noProof/>
          <w:color w:val="2F5496" w:themeColor="accent1" w:themeShade="BF"/>
        </w:rPr>
        <w:t>amendment.</w:t>
      </w:r>
      <w:r w:rsidR="00E22EF9">
        <w:rPr>
          <w:noProof/>
        </w:rPr>
        <w:t xml:space="preserve"> </w:t>
      </w:r>
      <w:r w:rsidRPr="00BF7321">
        <w:t xml:space="preserve">Prior to executing any </w:t>
      </w:r>
      <w:r>
        <w:rPr>
          <w:lang w:val="en-US"/>
        </w:rPr>
        <w:t>change order</w:t>
      </w:r>
      <w:r w:rsidRPr="00BF7321">
        <w:t xml:space="preserve"> that makes substantial changes to the project and is likely to change the activities, location, or beneficiaries as described in the Performance Statement, the Grant Recipient</w:t>
      </w:r>
      <w:r>
        <w:t xml:space="preserve"> should contact TDA</w:t>
      </w:r>
      <w:r w:rsidRPr="00BF7321">
        <w:t xml:space="preserve">. </w:t>
      </w:r>
      <w:r>
        <w:rPr>
          <w:b/>
        </w:rPr>
        <w:t>TDA</w:t>
      </w:r>
      <w:r w:rsidRPr="00BF7321">
        <w:rPr>
          <w:b/>
        </w:rPr>
        <w:t xml:space="preserve"> will approve a </w:t>
      </w:r>
      <w:r w:rsidR="00154D57">
        <w:rPr>
          <w:b/>
          <w:lang w:val="en-US"/>
        </w:rPr>
        <w:t>change order</w:t>
      </w:r>
      <w:r w:rsidRPr="00BF7321">
        <w:rPr>
          <w:b/>
        </w:rPr>
        <w:t xml:space="preserve"> only when the revised project </w:t>
      </w:r>
      <w:r>
        <w:rPr>
          <w:b/>
          <w:lang w:val="en-US"/>
        </w:rPr>
        <w:t>is consistent</w:t>
      </w:r>
      <w:r w:rsidRPr="00BF7321">
        <w:rPr>
          <w:b/>
        </w:rPr>
        <w:t xml:space="preserve"> with the </w:t>
      </w:r>
      <w:r w:rsidR="0064619E">
        <w:rPr>
          <w:b/>
          <w:lang w:val="en-US"/>
        </w:rPr>
        <w:t xml:space="preserve">TxCDBG </w:t>
      </w:r>
      <w:r w:rsidR="00446814">
        <w:rPr>
          <w:b/>
          <w:lang w:val="en-US"/>
        </w:rPr>
        <w:t>Grant Agreement</w:t>
      </w:r>
      <w:r w:rsidRPr="00BF7321">
        <w:rPr>
          <w:b/>
        </w:rPr>
        <w:t xml:space="preserve"> </w:t>
      </w:r>
      <w:r w:rsidR="00154D57">
        <w:rPr>
          <w:b/>
          <w:lang w:val="en-US"/>
        </w:rPr>
        <w:t>Performance Statement</w:t>
      </w:r>
      <w:r w:rsidRPr="00BF7321">
        <w:rPr>
          <w:b/>
        </w:rPr>
        <w:t>.</w:t>
      </w:r>
      <w:r w:rsidRPr="00BF7321">
        <w:t xml:space="preserve">  </w:t>
      </w:r>
    </w:p>
    <w:p w14:paraId="1654805B" w14:textId="77777777" w:rsidR="000C6B4E" w:rsidRDefault="000C6B4E" w:rsidP="009333F8">
      <w:pPr>
        <w:pStyle w:val="ACDBGBODYArial11"/>
        <w:spacing w:line="240" w:lineRule="auto"/>
      </w:pPr>
    </w:p>
    <w:p w14:paraId="42CCE8D1" w14:textId="77777777" w:rsidR="000C6B4E" w:rsidRDefault="000C6B4E" w:rsidP="009333F8">
      <w:pPr>
        <w:pStyle w:val="ACDBGBODYArial11"/>
        <w:spacing w:line="240" w:lineRule="auto"/>
      </w:pPr>
    </w:p>
    <w:p w14:paraId="4A0C77E3" w14:textId="77777777" w:rsidR="000C6B4E" w:rsidRPr="00C842FD" w:rsidRDefault="000C6B4E" w:rsidP="009333F8">
      <w:pPr>
        <w:pStyle w:val="Arial14Bold"/>
      </w:pPr>
      <w:bookmarkStart w:id="78" w:name="_Toc123110916"/>
      <w:bookmarkStart w:id="79" w:name="_Toc171786614"/>
      <w:bookmarkStart w:id="80" w:name="_Toc171786712"/>
      <w:r w:rsidRPr="00730400">
        <w:t>5.6.2 Performance Bond Claims and Assignment to New Contractor</w:t>
      </w:r>
      <w:bookmarkEnd w:id="78"/>
      <w:bookmarkEnd w:id="79"/>
      <w:bookmarkEnd w:id="80"/>
      <w:r w:rsidRPr="00C842FD">
        <w:t xml:space="preserve"> </w:t>
      </w:r>
    </w:p>
    <w:p w14:paraId="5B6010C3" w14:textId="77777777" w:rsidR="000C6B4E" w:rsidRDefault="000C6B4E" w:rsidP="009333F8">
      <w:pPr>
        <w:pStyle w:val="ACDBGBODYArial11"/>
        <w:spacing w:line="240" w:lineRule="auto"/>
      </w:pPr>
    </w:p>
    <w:p w14:paraId="0F6FE5C1" w14:textId="6B90782F" w:rsidR="000C6B4E" w:rsidRDefault="000C6B4E" w:rsidP="009333F8">
      <w:pPr>
        <w:pStyle w:val="ACDBGBODYArial11"/>
        <w:spacing w:line="240" w:lineRule="auto"/>
        <w:rPr>
          <w:lang w:val="en-US"/>
        </w:rPr>
      </w:pPr>
      <w:r w:rsidRPr="007C5CCC">
        <w:t>State law requires performance and payment bonds for contracts at or above specific dollar thresholds.</w:t>
      </w:r>
      <w:r>
        <w:rPr>
          <w:lang w:val="en-US"/>
        </w:rPr>
        <w:t xml:space="preserve"> </w:t>
      </w:r>
      <w:r w:rsidRPr="007C5CCC">
        <w:t>These bonds require the parties to a construction agreement to abide by provisions of the surety bond when processing a claim.</w:t>
      </w:r>
      <w:r w:rsidR="0064619E">
        <w:rPr>
          <w:lang w:val="en-US"/>
        </w:rPr>
        <w:t xml:space="preserve"> </w:t>
      </w:r>
      <w:r w:rsidRPr="007C5CCC">
        <w:t xml:space="preserve">When performance issues with the original contractor cannot be resolved, a bonding company will customarily appoint a different contractor to complete the work.  This should only be done in accordance with the surety’s terms. In addition, the original construction contract must contain a termination clause </w:t>
      </w:r>
      <w:r>
        <w:rPr>
          <w:lang w:val="en-US"/>
        </w:rPr>
        <w:t>f</w:t>
      </w:r>
      <w:r w:rsidRPr="007C5CCC">
        <w:t xml:space="preserve">or contracts that are </w:t>
      </w:r>
      <w:r>
        <w:rPr>
          <w:lang w:val="en-US"/>
        </w:rPr>
        <w:t>greater than</w:t>
      </w:r>
      <w:r w:rsidRPr="007C5CCC">
        <w:t xml:space="preserve"> $10,000</w:t>
      </w:r>
      <w:r>
        <w:rPr>
          <w:lang w:val="en-US"/>
        </w:rPr>
        <w:t xml:space="preserve">, </w:t>
      </w:r>
      <w:r w:rsidRPr="007C5CCC">
        <w:t xml:space="preserve">and should contain an assignability </w:t>
      </w:r>
      <w:r>
        <w:rPr>
          <w:lang w:val="en-US"/>
        </w:rPr>
        <w:t>and</w:t>
      </w:r>
      <w:r w:rsidRPr="007C5CCC">
        <w:t xml:space="preserve"> novation clause.</w:t>
      </w:r>
      <w:r>
        <w:rPr>
          <w:lang w:val="en-US"/>
        </w:rPr>
        <w:t xml:space="preserve"> </w:t>
      </w:r>
      <w:r w:rsidRPr="007C5CCC">
        <w:t xml:space="preserve">These provisions would permit a Grant Recipient to terminate a contract for cause or convenience and to re-assign completion of the project to a different contractor under the terms </w:t>
      </w:r>
      <w:r>
        <w:rPr>
          <w:lang w:val="en-US"/>
        </w:rPr>
        <w:t xml:space="preserve">of </w:t>
      </w:r>
      <w:r w:rsidRPr="007C5CCC">
        <w:t>the performance bond.</w:t>
      </w:r>
      <w:r>
        <w:rPr>
          <w:lang w:val="en-US"/>
        </w:rPr>
        <w:t xml:space="preserve"> </w:t>
      </w:r>
    </w:p>
    <w:p w14:paraId="52CDD994" w14:textId="77777777" w:rsidR="000C6B4E" w:rsidRDefault="000C6B4E" w:rsidP="009333F8">
      <w:pPr>
        <w:pStyle w:val="ACDBGBODYArial11"/>
        <w:spacing w:line="240" w:lineRule="auto"/>
        <w:rPr>
          <w:lang w:val="en-US"/>
        </w:rPr>
      </w:pPr>
    </w:p>
    <w:p w14:paraId="3E20F302" w14:textId="77777777" w:rsidR="000C6B4E" w:rsidRPr="007C5CCC" w:rsidRDefault="000C6B4E" w:rsidP="009333F8">
      <w:pPr>
        <w:pStyle w:val="ACDBGBODYArial11"/>
        <w:spacing w:line="240" w:lineRule="auto"/>
      </w:pPr>
      <w:r w:rsidRPr="007C5CCC">
        <w:t>The Grant Recipient must rely on their legal counsel to ensure that termination and assignability are performed in accordance with conditions of the contract</w:t>
      </w:r>
      <w:r>
        <w:rPr>
          <w:lang w:val="en-US"/>
        </w:rPr>
        <w:t>,</w:t>
      </w:r>
      <w:r w:rsidRPr="007C5CCC">
        <w:t xml:space="preserve"> and in compliance with federal, state, and local codes and regulations.</w:t>
      </w:r>
      <w:r>
        <w:rPr>
          <w:lang w:val="en-US"/>
        </w:rPr>
        <w:t xml:space="preserve"> </w:t>
      </w:r>
      <w:r w:rsidRPr="007C5CCC">
        <w:t>The Grant Recipient must maintain detailed records of communications and formal actions taken</w:t>
      </w:r>
      <w:r>
        <w:rPr>
          <w:lang w:val="en-US"/>
        </w:rPr>
        <w:t xml:space="preserve"> </w:t>
      </w:r>
      <w:r w:rsidRPr="007C5CCC">
        <w:t xml:space="preserve">which resulted in </w:t>
      </w:r>
      <w:r>
        <w:rPr>
          <w:lang w:val="en-US"/>
        </w:rPr>
        <w:t xml:space="preserve">the </w:t>
      </w:r>
      <w:r w:rsidRPr="007C5CCC">
        <w:t xml:space="preserve">termination of the original prime contractor and </w:t>
      </w:r>
      <w:r>
        <w:rPr>
          <w:lang w:val="en-US"/>
        </w:rPr>
        <w:t xml:space="preserve">which prompted </w:t>
      </w:r>
      <w:r w:rsidRPr="007C5CCC">
        <w:t>the claim</w:t>
      </w:r>
      <w:r>
        <w:rPr>
          <w:lang w:val="en-US"/>
        </w:rPr>
        <w:t xml:space="preserve"> to be</w:t>
      </w:r>
      <w:r w:rsidRPr="007C5CCC">
        <w:t xml:space="preserve"> filed with the performance bond surety company.</w:t>
      </w:r>
    </w:p>
    <w:p w14:paraId="11177151" w14:textId="77777777" w:rsidR="000C6B4E" w:rsidRDefault="000C6B4E" w:rsidP="009333F8">
      <w:pPr>
        <w:pStyle w:val="ACDBGBODYArial11"/>
        <w:spacing w:line="240" w:lineRule="auto"/>
      </w:pPr>
    </w:p>
    <w:p w14:paraId="4B62DEE2" w14:textId="3DA80F8D" w:rsidR="000C6B4E" w:rsidRDefault="000C6B4E" w:rsidP="009333F8">
      <w:pPr>
        <w:pStyle w:val="ACDBGBODYArial11"/>
        <w:spacing w:line="240" w:lineRule="auto"/>
      </w:pPr>
      <w:r>
        <w:t xml:space="preserve">Payment </w:t>
      </w:r>
      <w:r w:rsidR="0031321F">
        <w:rPr>
          <w:lang w:val="en-US"/>
        </w:rPr>
        <w:t>requests</w:t>
      </w:r>
      <w:r w:rsidR="0031321F">
        <w:t xml:space="preserve"> </w:t>
      </w:r>
      <w:r>
        <w:t>for costs associated with performance bond claims must clearly identify the costs for work performed only</w:t>
      </w:r>
      <w:r>
        <w:rPr>
          <w:lang w:val="en-US"/>
        </w:rPr>
        <w:t>:</w:t>
      </w:r>
    </w:p>
    <w:p w14:paraId="2B0D4F42" w14:textId="77777777" w:rsidR="000C6B4E" w:rsidRDefault="000C6B4E" w:rsidP="009333F8">
      <w:pPr>
        <w:pStyle w:val="BULLETS"/>
        <w:spacing w:line="240" w:lineRule="auto"/>
      </w:pPr>
      <w:r>
        <w:t>Where the Grant Recipient disburses funds directly to the bond company, the bond company is responsible for issuing payments to material suppliers, subcontractors, and the prime – neither TDA nor the Grant Recipient will track these disbursements, as the bond company has taken responsibility for the work and payment processes.  The bond company or prime contractor must provide invoices detailing the work completed to date and associated pricing, as outlined in the contract.</w:t>
      </w:r>
      <w:r w:rsidRPr="00311054">
        <w:t xml:space="preserve"> </w:t>
      </w:r>
      <w:r>
        <w:t>Any payments owed to the prime contractor are a matter between the contractor and the bond company.</w:t>
      </w:r>
    </w:p>
    <w:p w14:paraId="38A65192" w14:textId="77777777" w:rsidR="000C6B4E" w:rsidRDefault="000C6B4E" w:rsidP="009333F8">
      <w:pPr>
        <w:pStyle w:val="BULLETS"/>
        <w:spacing w:line="240" w:lineRule="auto"/>
      </w:pPr>
      <w:r>
        <w:t xml:space="preserve">Eligible costs must not exceed the amount of the original construction contract, plus any change orders prior to the performance bond claim. </w:t>
      </w:r>
      <w:r w:rsidRPr="00764520">
        <w:rPr>
          <w:b/>
          <w:bCs/>
        </w:rPr>
        <w:t>Any</w:t>
      </w:r>
      <w:r>
        <w:rPr>
          <w:b/>
          <w:bCs/>
        </w:rPr>
        <w:t xml:space="preserve"> additional expenses required to complete the project that exceed this maximum amount will be the responsibility of the city or bond company</w:t>
      </w:r>
      <w:r>
        <w:t>.</w:t>
      </w:r>
    </w:p>
    <w:p w14:paraId="5F942986" w14:textId="77777777" w:rsidR="000C6B4E" w:rsidRDefault="000C6B4E" w:rsidP="009333F8">
      <w:pPr>
        <w:pStyle w:val="BULLETS"/>
        <w:spacing w:line="240" w:lineRule="auto"/>
      </w:pPr>
      <w:r>
        <w:t>Alternatively, the Grant Recipient and bond company may opt to fully document all disbursements of funds under the construction contract to the prime contractor and associated subcontractors or material suppliers. In this case, TDA may consider a change order for additional work required to be performed to resolve all performance issues.</w:t>
      </w:r>
    </w:p>
    <w:p w14:paraId="5209F190" w14:textId="13329CF3" w:rsidR="000C6B4E" w:rsidRPr="00764520" w:rsidRDefault="000C6B4E" w:rsidP="009333F8">
      <w:pPr>
        <w:pStyle w:val="BULLETS"/>
        <w:spacing w:line="240" w:lineRule="auto"/>
      </w:pPr>
      <w:r w:rsidRPr="00764520">
        <w:t>TDA may accept a COCC with written notice from the bond company that all work has been completed in lieu of the contractor’s signature.</w:t>
      </w:r>
    </w:p>
    <w:p w14:paraId="62851320" w14:textId="77777777" w:rsidR="000C6B4E" w:rsidRDefault="000C6B4E" w:rsidP="009333F8">
      <w:pPr>
        <w:pStyle w:val="xmsolistparagraph"/>
        <w:spacing w:before="0" w:beforeAutospacing="0" w:after="0" w:afterAutospacing="0"/>
        <w:ind w:left="720"/>
        <w:rPr>
          <w:rFonts w:eastAsia="Times New Roman"/>
        </w:rPr>
      </w:pPr>
    </w:p>
    <w:p w14:paraId="263BAF75" w14:textId="0A440667" w:rsidR="000C6B4E" w:rsidRDefault="000C6B4E" w:rsidP="009333F8">
      <w:pPr>
        <w:pStyle w:val="ACDBGBODYArial11"/>
        <w:spacing w:line="240" w:lineRule="auto"/>
      </w:pPr>
      <w:r>
        <w:t>If a new contract is executed by the Grant Recipient</w:t>
      </w:r>
      <w:r w:rsidR="00D82142" w:rsidRPr="00D82142">
        <w:rPr>
          <w:lang w:val="en-US"/>
        </w:rPr>
        <w:t xml:space="preserve"> </w:t>
      </w:r>
      <w:r w:rsidR="00D82142">
        <w:rPr>
          <w:lang w:val="en-US"/>
        </w:rPr>
        <w:t xml:space="preserve">for </w:t>
      </w:r>
      <w:r w:rsidR="00D82142">
        <w:t xml:space="preserve">the replacement </w:t>
      </w:r>
      <w:r w:rsidR="00D82142" w:rsidRPr="00155943">
        <w:t>contractor selected by the bonding company</w:t>
      </w:r>
      <w:r w:rsidR="0064619E">
        <w:rPr>
          <w:lang w:val="en-US"/>
        </w:rPr>
        <w:t>,</w:t>
      </w:r>
      <w:r>
        <w:t xml:space="preserve"> </w:t>
      </w:r>
      <w:r w:rsidR="0064619E" w:rsidRPr="00155943">
        <w:t xml:space="preserve">a new </w:t>
      </w:r>
      <w:r w:rsidR="0064619E" w:rsidRPr="0064619E">
        <w:rPr>
          <w:lang w:val="en-US"/>
        </w:rPr>
        <w:t>MSR</w:t>
      </w:r>
      <w:r w:rsidR="0064619E" w:rsidRPr="00155943">
        <w:t xml:space="preserve"> must </w:t>
      </w:r>
      <w:r w:rsidR="00D82142">
        <w:rPr>
          <w:lang w:val="en-US"/>
        </w:rPr>
        <w:t xml:space="preserve">also </w:t>
      </w:r>
      <w:r w:rsidR="0064619E" w:rsidRPr="00155943">
        <w:t>be completed in TDA-GO</w:t>
      </w:r>
      <w:r w:rsidR="0064619E">
        <w:rPr>
          <w:lang w:val="en-US"/>
        </w:rPr>
        <w:t>. S</w:t>
      </w:r>
      <w:r w:rsidRPr="00155943">
        <w:t xml:space="preserve">elect </w:t>
      </w:r>
      <w:r w:rsidR="0064619E">
        <w:rPr>
          <w:lang w:val="en-US"/>
        </w:rPr>
        <w:t>“</w:t>
      </w:r>
      <w:r w:rsidR="0031321F">
        <w:rPr>
          <w:lang w:val="en-US"/>
        </w:rPr>
        <w:t>Bond Claim Resolution</w:t>
      </w:r>
      <w:r w:rsidR="00446814">
        <w:rPr>
          <w:lang w:val="en-US"/>
        </w:rPr>
        <w:t xml:space="preserve"> / Assignment of Contract</w:t>
      </w:r>
      <w:r w:rsidR="0064619E">
        <w:rPr>
          <w:lang w:val="en-US"/>
        </w:rPr>
        <w:t>”</w:t>
      </w:r>
      <w:r w:rsidRPr="00155943">
        <w:t xml:space="preserve"> as the </w:t>
      </w:r>
      <w:r w:rsidR="0031321F">
        <w:rPr>
          <w:lang w:val="en-US"/>
        </w:rPr>
        <w:t>Type of Procurement</w:t>
      </w:r>
      <w:r w:rsidR="00D82142">
        <w:rPr>
          <w:lang w:val="en-US"/>
        </w:rPr>
        <w:t>/Selection Process</w:t>
      </w:r>
      <w:r w:rsidRPr="00155943">
        <w:t>.</w:t>
      </w:r>
    </w:p>
    <w:p w14:paraId="5AC6E681" w14:textId="77777777" w:rsidR="000C6B4E" w:rsidRDefault="000C6B4E" w:rsidP="009333F8">
      <w:pPr>
        <w:pStyle w:val="ACDBGBODYArial11"/>
        <w:spacing w:line="240" w:lineRule="auto"/>
      </w:pPr>
    </w:p>
    <w:p w14:paraId="1B85DC40" w14:textId="77777777" w:rsidR="000C6B4E" w:rsidRDefault="000C6B4E" w:rsidP="009333F8">
      <w:pPr>
        <w:pStyle w:val="ACDBGBODYArial11"/>
        <w:spacing w:line="240" w:lineRule="auto"/>
      </w:pPr>
    </w:p>
    <w:p w14:paraId="795F409D" w14:textId="77777777" w:rsidR="000C6B4E" w:rsidRPr="00E45B41" w:rsidRDefault="000C6B4E" w:rsidP="009333F8">
      <w:pPr>
        <w:pStyle w:val="ACDGBArial20Bold"/>
      </w:pPr>
      <w:bookmarkStart w:id="81" w:name="_Toc7269344"/>
      <w:bookmarkStart w:id="82" w:name="_Toc38100469"/>
      <w:bookmarkStart w:id="83" w:name="_Toc123110917"/>
      <w:bookmarkStart w:id="84" w:name="_Toc171786615"/>
      <w:bookmarkStart w:id="85" w:name="_Toc171786713"/>
      <w:r w:rsidRPr="00E45B41">
        <w:t>5.</w:t>
      </w:r>
      <w:r>
        <w:t>7</w:t>
      </w:r>
      <w:r w:rsidRPr="00E45B41">
        <w:t xml:space="preserve"> Recordkeeping Procedures</w:t>
      </w:r>
      <w:bookmarkEnd w:id="81"/>
      <w:bookmarkEnd w:id="82"/>
      <w:bookmarkEnd w:id="83"/>
      <w:bookmarkEnd w:id="84"/>
      <w:bookmarkEnd w:id="85"/>
    </w:p>
    <w:p w14:paraId="14CEC988" w14:textId="77777777" w:rsidR="000C6B4E" w:rsidRDefault="000C6B4E" w:rsidP="009333F8"/>
    <w:p w14:paraId="5A35FEE1" w14:textId="3A2655FB" w:rsidR="000C6B4E" w:rsidRPr="00B81846" w:rsidRDefault="000C6B4E" w:rsidP="009333F8">
      <w:pPr>
        <w:pStyle w:val="Arial14Bold"/>
      </w:pPr>
      <w:bookmarkStart w:id="86" w:name="_Toc123110918"/>
      <w:bookmarkStart w:id="87" w:name="_Toc171786616"/>
      <w:bookmarkStart w:id="88" w:name="_Toc171786714"/>
      <w:r w:rsidRPr="00B81846">
        <w:t>5.</w:t>
      </w:r>
      <w:r>
        <w:t>7.</w:t>
      </w:r>
      <w:r w:rsidR="00D82142">
        <w:t>1</w:t>
      </w:r>
      <w:r w:rsidRPr="00B81846">
        <w:t xml:space="preserve"> </w:t>
      </w:r>
      <w:r>
        <w:t xml:space="preserve">Local </w:t>
      </w:r>
      <w:r w:rsidRPr="00B81846">
        <w:t>Records</w:t>
      </w:r>
      <w:bookmarkEnd w:id="86"/>
      <w:bookmarkEnd w:id="87"/>
      <w:bookmarkEnd w:id="88"/>
    </w:p>
    <w:p w14:paraId="647FEB48" w14:textId="77777777" w:rsidR="000C6B4E" w:rsidRPr="00C842FD" w:rsidRDefault="000C6B4E" w:rsidP="009333F8">
      <w:pPr>
        <w:pStyle w:val="ACDBGBODYArial11"/>
        <w:spacing w:line="240" w:lineRule="auto"/>
      </w:pPr>
    </w:p>
    <w:p w14:paraId="1A72186D" w14:textId="77777777" w:rsidR="000C6B4E" w:rsidRPr="00C842FD" w:rsidRDefault="000C6B4E" w:rsidP="009333F8">
      <w:pPr>
        <w:pStyle w:val="ACDBGBODYArial11"/>
        <w:spacing w:line="240" w:lineRule="auto"/>
      </w:pPr>
      <w:r w:rsidRPr="00C842FD">
        <w:t>The Grant Recipient must maintain records that are detailed enough to show the history of each procurement.</w:t>
      </w:r>
      <w:r>
        <w:rPr>
          <w:lang w:val="en-US"/>
        </w:rPr>
        <w:t xml:space="preserve"> </w:t>
      </w:r>
      <w:r w:rsidRPr="00C842FD">
        <w:t>At a minimum, records must demonstrate how the Grant Recipient</w:t>
      </w:r>
    </w:p>
    <w:p w14:paraId="261FDD53" w14:textId="458B18EB" w:rsidR="000C6B4E" w:rsidRPr="00C842FD" w:rsidRDefault="00D82142" w:rsidP="009333F8">
      <w:pPr>
        <w:pStyle w:val="BULLETS"/>
        <w:spacing w:line="240" w:lineRule="auto"/>
      </w:pPr>
      <w:r>
        <w:t>E</w:t>
      </w:r>
      <w:r w:rsidR="000C6B4E" w:rsidRPr="00C842FD">
        <w:t>xecuted price sampling for small purchases, or established</w:t>
      </w:r>
      <w:r w:rsidR="000C6B4E">
        <w:t>/</w:t>
      </w:r>
      <w:r w:rsidR="000C6B4E" w:rsidRPr="00C842FD">
        <w:t>published</w:t>
      </w:r>
      <w:r w:rsidR="000C6B4E">
        <w:t xml:space="preserve"> </w:t>
      </w:r>
      <w:r w:rsidR="000C6B4E" w:rsidRPr="00C842FD">
        <w:t xml:space="preserve">RFP </w:t>
      </w:r>
      <w:proofErr w:type="gramStart"/>
      <w:r w:rsidR="000C6B4E" w:rsidRPr="00C842FD">
        <w:t>solicitation</w:t>
      </w:r>
      <w:r w:rsidR="000C6B4E">
        <w:t>;</w:t>
      </w:r>
      <w:proofErr w:type="gramEnd"/>
    </w:p>
    <w:p w14:paraId="2F7A76D2" w14:textId="510D4DA4" w:rsidR="000C6B4E" w:rsidRPr="00C842FD" w:rsidRDefault="00D82142" w:rsidP="009333F8">
      <w:pPr>
        <w:pStyle w:val="BULLETS"/>
        <w:spacing w:line="240" w:lineRule="auto"/>
      </w:pPr>
      <w:r>
        <w:t>S</w:t>
      </w:r>
      <w:r w:rsidR="000C6B4E" w:rsidRPr="00C842FD">
        <w:t xml:space="preserve">elected the method of procurement and the type of contract to be </w:t>
      </w:r>
      <w:proofErr w:type="gramStart"/>
      <w:r w:rsidR="000C6B4E" w:rsidRPr="00C842FD">
        <w:t>used;</w:t>
      </w:r>
      <w:proofErr w:type="gramEnd"/>
    </w:p>
    <w:p w14:paraId="082D1C93" w14:textId="70C5EAAA" w:rsidR="000C6B4E" w:rsidRPr="00C842FD" w:rsidRDefault="00D82142" w:rsidP="009333F8">
      <w:pPr>
        <w:pStyle w:val="BULLETS"/>
        <w:spacing w:line="240" w:lineRule="auto"/>
      </w:pPr>
      <w:r>
        <w:t>D</w:t>
      </w:r>
      <w:r w:rsidR="000C6B4E" w:rsidRPr="00C842FD">
        <w:t>etermined the bids or proposals to accept and the ones to reject; and</w:t>
      </w:r>
    </w:p>
    <w:p w14:paraId="45ADF56A" w14:textId="133C9966" w:rsidR="000C6B4E" w:rsidRPr="00C842FD" w:rsidRDefault="00D82142" w:rsidP="009333F8">
      <w:pPr>
        <w:pStyle w:val="BULLETS"/>
        <w:spacing w:line="240" w:lineRule="auto"/>
      </w:pPr>
      <w:r>
        <w:t>C</w:t>
      </w:r>
      <w:r w:rsidR="000C6B4E" w:rsidRPr="00C842FD">
        <w:t>omputed the basis for the contract cost or price.</w:t>
      </w:r>
    </w:p>
    <w:p w14:paraId="3DACBE52" w14:textId="77777777" w:rsidR="000C6B4E" w:rsidRDefault="000C6B4E" w:rsidP="009333F8">
      <w:pPr>
        <w:jc w:val="both"/>
        <w:rPr>
          <w:rFonts w:cs="Arial"/>
          <w:szCs w:val="22"/>
        </w:rPr>
      </w:pPr>
    </w:p>
    <w:p w14:paraId="270E2F53" w14:textId="431CF6C5" w:rsidR="000C6B4E" w:rsidRPr="00155943" w:rsidRDefault="000C6B4E" w:rsidP="009333F8">
      <w:pPr>
        <w:pStyle w:val="ACDBGBODYArial11"/>
        <w:spacing w:line="240" w:lineRule="auto"/>
        <w:rPr>
          <w:lang w:val="en-US"/>
        </w:rPr>
      </w:pPr>
      <w:r w:rsidRPr="00EB65C6">
        <w:t xml:space="preserve">The </w:t>
      </w:r>
      <w:r w:rsidRPr="0072787A">
        <w:t>Grant Recipient must submit a</w:t>
      </w:r>
      <w:r w:rsidR="00D82142">
        <w:rPr>
          <w:lang w:val="en-US"/>
        </w:rPr>
        <w:t>n MSR</w:t>
      </w:r>
      <w:r w:rsidRPr="00D15F81">
        <w:rPr>
          <w:bCs/>
          <w:iCs/>
          <w:lang w:val="en-US"/>
        </w:rPr>
        <w:t xml:space="preserve"> in TDA-GO</w:t>
      </w:r>
      <w:r>
        <w:rPr>
          <w:bCs/>
          <w:i/>
          <w:lang w:val="en-US"/>
        </w:rPr>
        <w:t xml:space="preserve"> </w:t>
      </w:r>
      <w:r w:rsidRPr="00822C8D">
        <w:t>for all businesses and other entities contracted to provide products or services in whole or in part for a TxCDBG project</w:t>
      </w:r>
      <w:r>
        <w:t xml:space="preserve">, </w:t>
      </w:r>
      <w:r w:rsidRPr="008074B3">
        <w:t>including those that will be wholly or partially paid with other funding sources.</w:t>
      </w:r>
      <w:r>
        <w:rPr>
          <w:lang w:val="en-US"/>
        </w:rPr>
        <w:t xml:space="preserve"> </w:t>
      </w:r>
      <w:r w:rsidRPr="00822C8D">
        <w:t>This report</w:t>
      </w:r>
      <w:r>
        <w:rPr>
          <w:lang w:val="en-US"/>
        </w:rPr>
        <w:t>:</w:t>
      </w:r>
    </w:p>
    <w:p w14:paraId="663A4D54" w14:textId="1D535C84" w:rsidR="000C6B4E" w:rsidRPr="00893E09" w:rsidRDefault="00D82142" w:rsidP="009333F8">
      <w:pPr>
        <w:pStyle w:val="BULLETS"/>
        <w:spacing w:line="240" w:lineRule="auto"/>
      </w:pPr>
      <w:r>
        <w:t>D</w:t>
      </w:r>
      <w:r w:rsidR="000C6B4E" w:rsidRPr="00893E09">
        <w:t xml:space="preserve">escribes the work to be performed by the business or other </w:t>
      </w:r>
      <w:proofErr w:type="gramStart"/>
      <w:r w:rsidR="000C6B4E" w:rsidRPr="00893E09">
        <w:t>entity;</w:t>
      </w:r>
      <w:proofErr w:type="gramEnd"/>
    </w:p>
    <w:p w14:paraId="65B588F9" w14:textId="001D7B05" w:rsidR="000C6B4E" w:rsidRPr="008A6DD1" w:rsidRDefault="00D82142" w:rsidP="009333F8">
      <w:pPr>
        <w:pStyle w:val="BULLETS"/>
        <w:spacing w:line="240" w:lineRule="auto"/>
      </w:pPr>
      <w:r>
        <w:t>V</w:t>
      </w:r>
      <w:r w:rsidR="000C6B4E" w:rsidRPr="008A6DD1">
        <w:t xml:space="preserve">erifies that all required clearances have been completed prior to executing a contract with the business or other </w:t>
      </w:r>
      <w:proofErr w:type="gramStart"/>
      <w:r w:rsidR="000C6B4E" w:rsidRPr="008A6DD1">
        <w:t>entity;</w:t>
      </w:r>
      <w:proofErr w:type="gramEnd"/>
    </w:p>
    <w:p w14:paraId="0054A329" w14:textId="103D6F30" w:rsidR="000C6B4E" w:rsidRPr="00495AA6" w:rsidRDefault="00D82142" w:rsidP="009333F8">
      <w:pPr>
        <w:pStyle w:val="BULLETS"/>
        <w:spacing w:line="240" w:lineRule="auto"/>
      </w:pPr>
      <w:r>
        <w:t>D</w:t>
      </w:r>
      <w:r w:rsidR="000C6B4E" w:rsidRPr="00495AA6">
        <w:t xml:space="preserve">iscloses the financial interest of the business or other </w:t>
      </w:r>
      <w:proofErr w:type="gramStart"/>
      <w:r w:rsidR="000C6B4E" w:rsidRPr="00495AA6">
        <w:t>entity;</w:t>
      </w:r>
      <w:proofErr w:type="gramEnd"/>
    </w:p>
    <w:p w14:paraId="4A04022F" w14:textId="515C349B" w:rsidR="000C6B4E" w:rsidRPr="00495AA6" w:rsidRDefault="00D82142" w:rsidP="009333F8">
      <w:pPr>
        <w:pStyle w:val="BULLETS"/>
        <w:spacing w:line="240" w:lineRule="auto"/>
      </w:pPr>
      <w:r>
        <w:t>P</w:t>
      </w:r>
      <w:r w:rsidR="000C6B4E">
        <w:t>r</w:t>
      </w:r>
      <w:r w:rsidR="000C6B4E" w:rsidRPr="00495AA6">
        <w:t xml:space="preserve">ovides </w:t>
      </w:r>
      <w:r w:rsidR="000C6B4E">
        <w:t>m</w:t>
      </w:r>
      <w:r w:rsidR="000C6B4E" w:rsidRPr="00495AA6">
        <w:t xml:space="preserve">inority </w:t>
      </w:r>
      <w:r w:rsidR="000C6B4E">
        <w:t>b</w:t>
      </w:r>
      <w:r w:rsidR="000C6B4E" w:rsidRPr="00495AA6">
        <w:t xml:space="preserve">usiness </w:t>
      </w:r>
      <w:r w:rsidR="000C6B4E">
        <w:t>e</w:t>
      </w:r>
      <w:r w:rsidR="000C6B4E" w:rsidRPr="00495AA6">
        <w:t>nterprise information for the business owner</w:t>
      </w:r>
      <w:r w:rsidR="000C6B4E">
        <w:t xml:space="preserve">, however </w:t>
      </w:r>
      <w:r w:rsidR="000C6B4E" w:rsidRPr="00495AA6">
        <w:t xml:space="preserve">not required for </w:t>
      </w:r>
      <w:r w:rsidR="000C6B4E">
        <w:t>c</w:t>
      </w:r>
      <w:r w:rsidR="000C6B4E" w:rsidRPr="00495AA6">
        <w:t xml:space="preserve">ouncils of </w:t>
      </w:r>
      <w:r w:rsidR="000C6B4E">
        <w:t>g</w:t>
      </w:r>
      <w:r w:rsidR="000C6B4E" w:rsidRPr="00495AA6">
        <w:t xml:space="preserve">overnment and other non-business </w:t>
      </w:r>
      <w:proofErr w:type="gramStart"/>
      <w:r w:rsidR="000C6B4E" w:rsidRPr="00495AA6">
        <w:t>entities</w:t>
      </w:r>
      <w:r w:rsidR="000C6B4E">
        <w:t>;</w:t>
      </w:r>
      <w:proofErr w:type="gramEnd"/>
      <w:r w:rsidR="000C6B4E">
        <w:t xml:space="preserve"> </w:t>
      </w:r>
    </w:p>
    <w:p w14:paraId="16D497F3" w14:textId="107D3C23" w:rsidR="000C6B4E" w:rsidRDefault="00D82142" w:rsidP="009333F8">
      <w:pPr>
        <w:pStyle w:val="BULLETS"/>
        <w:spacing w:line="240" w:lineRule="auto"/>
        <w:ind w:right="-252"/>
      </w:pPr>
      <w:r>
        <w:t>I</w:t>
      </w:r>
      <w:r w:rsidR="000C6B4E" w:rsidRPr="0091792B">
        <w:t>dentifies Section 3 business concerns and anticipated Section 3 employment opportunities</w:t>
      </w:r>
      <w:r w:rsidR="000C6B4E">
        <w:t>; and</w:t>
      </w:r>
    </w:p>
    <w:p w14:paraId="74D60317" w14:textId="4578B73B" w:rsidR="000C6B4E" w:rsidRPr="00B81846" w:rsidRDefault="00D82142" w:rsidP="009333F8">
      <w:pPr>
        <w:pStyle w:val="BULLETS"/>
        <w:spacing w:line="240" w:lineRule="auto"/>
      </w:pPr>
      <w:r>
        <w:t>P</w:t>
      </w:r>
      <w:r w:rsidR="000C6B4E" w:rsidRPr="00B81846">
        <w:t>rovides Davis-Bacon wage decision numbers and other key contract dates.</w:t>
      </w:r>
    </w:p>
    <w:p w14:paraId="596F6E52" w14:textId="77777777" w:rsidR="000C6B4E" w:rsidRPr="006C5D6D" w:rsidRDefault="000C6B4E" w:rsidP="009333F8">
      <w:pPr>
        <w:rPr>
          <w:szCs w:val="22"/>
        </w:rPr>
      </w:pPr>
    </w:p>
    <w:p w14:paraId="22E81B5B" w14:textId="5B5C5F0A" w:rsidR="000C6B4E" w:rsidRDefault="000C6B4E" w:rsidP="009333F8">
      <w:pPr>
        <w:pStyle w:val="Arial14Bold"/>
      </w:pPr>
      <w:bookmarkStart w:id="89" w:name="_Toc123110919"/>
      <w:bookmarkStart w:id="90" w:name="_Toc171786617"/>
      <w:bookmarkStart w:id="91" w:name="_Toc171786715"/>
      <w:r w:rsidRPr="00C842FD">
        <w:t>5.</w:t>
      </w:r>
      <w:r>
        <w:t>7</w:t>
      </w:r>
      <w:r w:rsidRPr="00C842FD">
        <w:t>.</w:t>
      </w:r>
      <w:r w:rsidR="00D82142">
        <w:t>2</w:t>
      </w:r>
      <w:r w:rsidRPr="00C842FD">
        <w:t xml:space="preserve"> Micro-purchases</w:t>
      </w:r>
      <w:bookmarkEnd w:id="89"/>
      <w:bookmarkEnd w:id="90"/>
      <w:bookmarkEnd w:id="91"/>
    </w:p>
    <w:p w14:paraId="3D6E2430" w14:textId="77777777" w:rsidR="000C6B4E" w:rsidRDefault="000C6B4E" w:rsidP="009333F8">
      <w:pPr>
        <w:pStyle w:val="ACDBGBODYArial11"/>
        <w:spacing w:line="240" w:lineRule="auto"/>
      </w:pPr>
    </w:p>
    <w:p w14:paraId="456F0CC5" w14:textId="5AABEBAF" w:rsidR="000C6B4E" w:rsidRPr="00C842FD" w:rsidRDefault="000C6B4E" w:rsidP="009333F8">
      <w:pPr>
        <w:pStyle w:val="ACDBGBODYArial11"/>
        <w:spacing w:line="240" w:lineRule="auto"/>
      </w:pPr>
      <w:r w:rsidRPr="00C842FD">
        <w:t xml:space="preserve">The Grant Recipient must maintain copies of all </w:t>
      </w:r>
      <w:r w:rsidR="00154D57">
        <w:rPr>
          <w:lang w:val="en-US"/>
        </w:rPr>
        <w:t xml:space="preserve">contracts and/or </w:t>
      </w:r>
      <w:r w:rsidRPr="00C842FD">
        <w:t>purchase orders and, if possible, show evidence of distributing purchases equitably among suppliers.</w:t>
      </w:r>
    </w:p>
    <w:p w14:paraId="5049B868" w14:textId="77777777" w:rsidR="000C6B4E" w:rsidRDefault="000C6B4E" w:rsidP="009333F8"/>
    <w:p w14:paraId="37345BA1" w14:textId="4D058252" w:rsidR="000C6B4E" w:rsidRPr="00D82142" w:rsidRDefault="000C6B4E" w:rsidP="009333F8">
      <w:pPr>
        <w:pStyle w:val="ACDBGBODYArial11"/>
        <w:spacing w:line="240" w:lineRule="auto"/>
      </w:pPr>
      <w:r>
        <w:rPr>
          <w:lang w:val="en-US"/>
        </w:rPr>
        <w:t xml:space="preserve">For micro-purchases, </w:t>
      </w:r>
      <w:r w:rsidRPr="00D15F81">
        <w:rPr>
          <w:lang w:val="en-US"/>
        </w:rPr>
        <w:t xml:space="preserve">no Materials and Services </w:t>
      </w:r>
      <w:r w:rsidR="00154D57">
        <w:rPr>
          <w:lang w:val="en-US"/>
        </w:rPr>
        <w:t>Report</w:t>
      </w:r>
      <w:r w:rsidR="00154D57" w:rsidRPr="00D15F81">
        <w:rPr>
          <w:lang w:val="en-US"/>
        </w:rPr>
        <w:t xml:space="preserve"> </w:t>
      </w:r>
      <w:r w:rsidRPr="00D15F81">
        <w:rPr>
          <w:lang w:val="en-US"/>
        </w:rPr>
        <w:t>is</w:t>
      </w:r>
      <w:r>
        <w:rPr>
          <w:lang w:val="en-US"/>
        </w:rPr>
        <w:t xml:space="preserve"> required. Instead, complete the </w:t>
      </w:r>
      <w:r w:rsidR="00331E3D" w:rsidRPr="00331E3D">
        <w:rPr>
          <w:i/>
          <w:iCs/>
          <w:lang w:val="en-US"/>
        </w:rPr>
        <w:t>Eligible Costs not Reported on MSR</w:t>
      </w:r>
      <w:r w:rsidR="0031321F">
        <w:rPr>
          <w:i/>
          <w:iCs/>
          <w:lang w:val="en-US"/>
        </w:rPr>
        <w:t xml:space="preserve"> </w:t>
      </w:r>
      <w:r w:rsidRPr="00D82142">
        <w:rPr>
          <w:lang w:val="en-US"/>
        </w:rPr>
        <w:t xml:space="preserve">section of the TDA-GO </w:t>
      </w:r>
      <w:r w:rsidRPr="00007861">
        <w:rPr>
          <w:i/>
          <w:iCs/>
          <w:lang w:val="en-US"/>
        </w:rPr>
        <w:t>Grant Overview</w:t>
      </w:r>
      <w:r w:rsidRPr="00D82142">
        <w:rPr>
          <w:lang w:val="en-US"/>
        </w:rPr>
        <w:t xml:space="preserve"> page</w:t>
      </w:r>
      <w:r w:rsidRPr="00D82142">
        <w:t>.</w:t>
      </w:r>
    </w:p>
    <w:p w14:paraId="54D29C85" w14:textId="77777777" w:rsidR="000C6B4E" w:rsidRPr="006C5D6D" w:rsidRDefault="000C6B4E" w:rsidP="009333F8">
      <w:pPr>
        <w:rPr>
          <w:rFonts w:cs="Arial"/>
          <w:szCs w:val="22"/>
        </w:rPr>
      </w:pPr>
    </w:p>
    <w:p w14:paraId="2ECB7FD8" w14:textId="5F575E13" w:rsidR="000C6B4E" w:rsidRPr="00C842FD" w:rsidRDefault="000C6B4E" w:rsidP="009333F8">
      <w:pPr>
        <w:pStyle w:val="Arial14Bold"/>
      </w:pPr>
      <w:bookmarkStart w:id="92" w:name="_Toc123110920"/>
      <w:bookmarkStart w:id="93" w:name="_Toc171786618"/>
      <w:bookmarkStart w:id="94" w:name="_Toc171786716"/>
      <w:r w:rsidRPr="00C842FD">
        <w:t>5.</w:t>
      </w:r>
      <w:r>
        <w:t>7</w:t>
      </w:r>
      <w:r w:rsidRPr="00C842FD">
        <w:t>.</w:t>
      </w:r>
      <w:r w:rsidR="00D82142">
        <w:t>3</w:t>
      </w:r>
      <w:r w:rsidRPr="00C842FD">
        <w:t xml:space="preserve"> Competitive Proposal </w:t>
      </w:r>
      <w:r>
        <w:t>–</w:t>
      </w:r>
      <w:r w:rsidRPr="00C842FD">
        <w:t xml:space="preserve"> </w:t>
      </w:r>
      <w:r>
        <w:t>Non-Construction</w:t>
      </w:r>
      <w:r w:rsidRPr="00C842FD">
        <w:t xml:space="preserve"> Services</w:t>
      </w:r>
      <w:bookmarkEnd w:id="92"/>
      <w:bookmarkEnd w:id="93"/>
      <w:bookmarkEnd w:id="94"/>
    </w:p>
    <w:p w14:paraId="4FF46007" w14:textId="77777777" w:rsidR="000C6B4E" w:rsidRDefault="000C6B4E" w:rsidP="009333F8">
      <w:pPr>
        <w:pStyle w:val="ACDBGBODYArial11"/>
        <w:spacing w:line="240" w:lineRule="auto"/>
      </w:pPr>
      <w:bookmarkStart w:id="95" w:name="_Toc504554684"/>
      <w:bookmarkStart w:id="96" w:name="_Toc7269348"/>
      <w:bookmarkStart w:id="97" w:name="_Toc38100473"/>
    </w:p>
    <w:p w14:paraId="6D14CF39" w14:textId="34DFF104" w:rsidR="000C6B4E" w:rsidRPr="00C842FD" w:rsidRDefault="000C6B4E" w:rsidP="009333F8">
      <w:pPr>
        <w:pStyle w:val="ACDBGBODYArial11"/>
        <w:spacing w:line="240" w:lineRule="auto"/>
        <w:rPr>
          <w:lang w:val="en-US"/>
        </w:rPr>
      </w:pPr>
      <w:r w:rsidRPr="00E45B41">
        <w:t>The Grant Recipient must establish and maintain separate files for records relating to the procurement of a management consultant, engineer or other service provider to detail the procurement process undertaken. The files for professional services</w:t>
      </w:r>
      <w:r w:rsidRPr="00E45B41">
        <w:rPr>
          <w:b/>
        </w:rPr>
        <w:t xml:space="preserve"> </w:t>
      </w:r>
      <w:r w:rsidRPr="00614C4E">
        <w:t xml:space="preserve">or </w:t>
      </w:r>
      <w:r w:rsidR="00004A6A">
        <w:t>administration</w:t>
      </w:r>
      <w:r w:rsidRPr="00614C4E">
        <w:t xml:space="preserve"> services</w:t>
      </w:r>
      <w:r w:rsidRPr="00E45B41">
        <w:t xml:space="preserve"> procurement should contain the following information</w:t>
      </w:r>
      <w:r>
        <w:rPr>
          <w:lang w:val="en-US"/>
        </w:rPr>
        <w:t>:</w:t>
      </w:r>
    </w:p>
    <w:p w14:paraId="525EA003" w14:textId="524D318E" w:rsidR="000C6B4E" w:rsidRPr="00C842FD" w:rsidRDefault="000C6B4E" w:rsidP="009333F8">
      <w:pPr>
        <w:pStyle w:val="BULLETS"/>
        <w:spacing w:line="240" w:lineRule="auto"/>
      </w:pPr>
      <w:r w:rsidRPr="00C842FD">
        <w:t>Proof of advertisement with a tear sheet/full-page advertisement/photocopy with publisher’s identification and date/publisher’s affidavit for proof of advertising for monitoring purposes.</w:t>
      </w:r>
    </w:p>
    <w:p w14:paraId="132D78EC" w14:textId="7C43A870" w:rsidR="000C6B4E" w:rsidRPr="00C842FD" w:rsidRDefault="000C6B4E" w:rsidP="009333F8">
      <w:pPr>
        <w:pStyle w:val="BULLETS"/>
        <w:spacing w:line="240" w:lineRule="auto"/>
      </w:pPr>
      <w:r w:rsidRPr="00C842FD">
        <w:t>Proof that five or more firms/individuals were contacted for proposals.</w:t>
      </w:r>
    </w:p>
    <w:p w14:paraId="5284A371" w14:textId="77777777" w:rsidR="000C6B4E" w:rsidRPr="00C842FD" w:rsidRDefault="000C6B4E" w:rsidP="009333F8">
      <w:pPr>
        <w:pStyle w:val="BULLETS"/>
        <w:spacing w:line="240" w:lineRule="auto"/>
      </w:pPr>
      <w:r w:rsidRPr="00C842FD">
        <w:t>A complete RFP packet</w:t>
      </w:r>
      <w:r>
        <w:t>,</w:t>
      </w:r>
      <w:r w:rsidRPr="00C842FD">
        <w:t xml:space="preserve"> including cover letter, request for proposal, rating sheet (if utilized)</w:t>
      </w:r>
      <w:r>
        <w:t>,</w:t>
      </w:r>
      <w:r w:rsidRPr="00C842FD">
        <w:t xml:space="preserve"> and a sample contract.</w:t>
      </w:r>
    </w:p>
    <w:p w14:paraId="457EF83F" w14:textId="77777777" w:rsidR="000C6B4E" w:rsidRPr="00C842FD" w:rsidRDefault="000C6B4E" w:rsidP="009333F8">
      <w:pPr>
        <w:pStyle w:val="BULLETS"/>
        <w:spacing w:line="240" w:lineRule="auto"/>
      </w:pPr>
      <w:r w:rsidRPr="00C842FD">
        <w:t>Proof that all proposals were received by the Grant Recipient, with note or stamped date/time received</w:t>
      </w:r>
      <w:r>
        <w:t>.</w:t>
      </w:r>
    </w:p>
    <w:p w14:paraId="33066CB1" w14:textId="77777777" w:rsidR="000C6B4E" w:rsidRPr="00C842FD" w:rsidRDefault="000C6B4E" w:rsidP="009333F8">
      <w:pPr>
        <w:pStyle w:val="BULLETS"/>
        <w:spacing w:line="240" w:lineRule="auto"/>
      </w:pPr>
      <w:r w:rsidRPr="00C842FD">
        <w:t xml:space="preserve">Verification that the </w:t>
      </w:r>
      <w:r>
        <w:t>fi</w:t>
      </w:r>
      <w:r w:rsidRPr="00C842FD">
        <w:t xml:space="preserve">rm and </w:t>
      </w:r>
      <w:r>
        <w:t>p</w:t>
      </w:r>
      <w:r w:rsidRPr="00C842FD">
        <w:t xml:space="preserve">rincipals of </w:t>
      </w:r>
      <w:r>
        <w:t>fi</w:t>
      </w:r>
      <w:r w:rsidRPr="00C842FD">
        <w:t>rm are not on the SAM.gov d</w:t>
      </w:r>
      <w:r>
        <w:t>e</w:t>
      </w:r>
      <w:r w:rsidRPr="00C842FD">
        <w:t>barred or suspended list</w:t>
      </w:r>
      <w:r>
        <w:t xml:space="preserve">; a </w:t>
      </w:r>
      <w:r w:rsidRPr="00C842FD">
        <w:t>printout of SAM.gov page with date</w:t>
      </w:r>
      <w:r>
        <w:t xml:space="preserve"> is required.</w:t>
      </w:r>
    </w:p>
    <w:p w14:paraId="18849A0B" w14:textId="77777777" w:rsidR="000C6B4E" w:rsidRPr="00C842FD" w:rsidRDefault="000C6B4E" w:rsidP="009333F8">
      <w:pPr>
        <w:pStyle w:val="BULLETS"/>
        <w:spacing w:line="240" w:lineRule="auto"/>
      </w:pPr>
      <w:r w:rsidRPr="00C842FD">
        <w:t xml:space="preserve">Meeting </w:t>
      </w:r>
      <w:r>
        <w:t>m</w:t>
      </w:r>
      <w:r w:rsidRPr="00C842FD">
        <w:t>inutes documenting the award</w:t>
      </w:r>
      <w:r>
        <w:t>.</w:t>
      </w:r>
    </w:p>
    <w:p w14:paraId="3216665F" w14:textId="77777777" w:rsidR="000C6B4E" w:rsidRPr="00C842FD" w:rsidRDefault="000C6B4E" w:rsidP="009333F8">
      <w:pPr>
        <w:pStyle w:val="BULLETS"/>
        <w:spacing w:line="240" w:lineRule="auto"/>
      </w:pPr>
      <w:r w:rsidRPr="00C842FD">
        <w:t xml:space="preserve">An </w:t>
      </w:r>
      <w:r>
        <w:t>executed co</w:t>
      </w:r>
      <w:r w:rsidRPr="00C842FD">
        <w:t>ntract</w:t>
      </w:r>
      <w:r>
        <w:t>.</w:t>
      </w:r>
    </w:p>
    <w:p w14:paraId="20622434" w14:textId="0B71C767" w:rsidR="000C6B4E" w:rsidRDefault="000C6B4E" w:rsidP="009333F8">
      <w:pPr>
        <w:pStyle w:val="BULLETS"/>
        <w:spacing w:line="240" w:lineRule="auto"/>
      </w:pPr>
      <w:r w:rsidRPr="00C842FD">
        <w:t xml:space="preserve">If planning project, see </w:t>
      </w:r>
      <w:r w:rsidRPr="00D82142">
        <w:rPr>
          <w:i/>
          <w:iCs/>
        </w:rPr>
        <w:t>Chapter 3</w:t>
      </w:r>
      <w:r w:rsidR="00D82142">
        <w:t xml:space="preserve"> </w:t>
      </w:r>
      <w:r w:rsidR="00D82142" w:rsidRPr="00D82142">
        <w:rPr>
          <w:i/>
          <w:iCs/>
        </w:rPr>
        <w:t>Environmental Review</w:t>
      </w:r>
      <w:r w:rsidRPr="00C842FD">
        <w:t xml:space="preserve"> for environmental </w:t>
      </w:r>
      <w:r>
        <w:t>review</w:t>
      </w:r>
      <w:r w:rsidRPr="00C842FD">
        <w:t xml:space="preserve"> documentation</w:t>
      </w:r>
      <w:r>
        <w:t>.</w:t>
      </w:r>
    </w:p>
    <w:p w14:paraId="3C52B5C2" w14:textId="77777777" w:rsidR="000C6B4E" w:rsidRDefault="000C6B4E" w:rsidP="009333F8">
      <w:pPr>
        <w:jc w:val="both"/>
        <w:rPr>
          <w:rFonts w:cs="Arial"/>
          <w:szCs w:val="22"/>
        </w:rPr>
      </w:pPr>
    </w:p>
    <w:p w14:paraId="4C13A107" w14:textId="2E6A77B6" w:rsidR="000C6B4E" w:rsidRPr="000B4E11" w:rsidRDefault="000C6B4E" w:rsidP="009333F8">
      <w:pPr>
        <w:pStyle w:val="Heading2"/>
      </w:pPr>
      <w:bookmarkStart w:id="98" w:name="_Toc123110921"/>
      <w:bookmarkStart w:id="99" w:name="_Toc171786619"/>
      <w:bookmarkStart w:id="100" w:name="_Toc171786717"/>
      <w:r>
        <w:t>5.7</w:t>
      </w:r>
      <w:r w:rsidRPr="000B4E11">
        <w:t>.</w:t>
      </w:r>
      <w:r w:rsidR="00D82142">
        <w:t>4</w:t>
      </w:r>
      <w:r w:rsidRPr="000B4E11">
        <w:t xml:space="preserve"> Construction </w:t>
      </w:r>
      <w:r>
        <w:t>and</w:t>
      </w:r>
      <w:r w:rsidRPr="000B4E11">
        <w:t xml:space="preserve"> Material</w:t>
      </w:r>
      <w:r w:rsidR="00996C87">
        <w:t>/Equipment</w:t>
      </w:r>
      <w:r w:rsidRPr="000B4E11">
        <w:t xml:space="preserve"> Purchases</w:t>
      </w:r>
      <w:bookmarkEnd w:id="98"/>
      <w:bookmarkEnd w:id="99"/>
      <w:bookmarkEnd w:id="100"/>
    </w:p>
    <w:p w14:paraId="2815634F" w14:textId="77777777" w:rsidR="000C6B4E" w:rsidRDefault="000C6B4E" w:rsidP="009333F8">
      <w:pPr>
        <w:pStyle w:val="ACDBGBODYArial11"/>
        <w:spacing w:line="240" w:lineRule="auto"/>
      </w:pPr>
    </w:p>
    <w:p w14:paraId="578F9867" w14:textId="66CCCDA2" w:rsidR="000C6B4E" w:rsidRPr="00493B63" w:rsidRDefault="000C6B4E" w:rsidP="009333F8">
      <w:pPr>
        <w:pStyle w:val="ACDBGBODYArial11"/>
        <w:spacing w:line="240" w:lineRule="auto"/>
      </w:pPr>
      <w:r w:rsidRPr="00493B63">
        <w:t>The Grant Recipient must establish and maintain separate files for records relating to the procurement of a construction contractor or materials</w:t>
      </w:r>
      <w:r w:rsidR="004E187B">
        <w:t xml:space="preserve">/equipment </w:t>
      </w:r>
      <w:r w:rsidRPr="00493B63">
        <w:t>supplier to detail the procurement process undertaken. The files for construction and material</w:t>
      </w:r>
      <w:r w:rsidR="00996C87">
        <w:t>/equipment</w:t>
      </w:r>
      <w:r w:rsidRPr="00493B63">
        <w:t xml:space="preserve"> purchases procurement should contain</w:t>
      </w:r>
      <w:r w:rsidR="00996C87">
        <w:t>:</w:t>
      </w:r>
    </w:p>
    <w:p w14:paraId="3AD684EE" w14:textId="40E194F1" w:rsidR="000C6B4E" w:rsidRDefault="00D82142" w:rsidP="009333F8">
      <w:pPr>
        <w:pStyle w:val="BULLETS"/>
        <w:spacing w:line="240" w:lineRule="auto"/>
      </w:pPr>
      <w:r>
        <w:t>B</w:t>
      </w:r>
      <w:r w:rsidR="000C6B4E" w:rsidRPr="00493B63">
        <w:t xml:space="preserve">id </w:t>
      </w:r>
      <w:r w:rsidR="000C6B4E">
        <w:t>d</w:t>
      </w:r>
      <w:r w:rsidR="000C6B4E" w:rsidRPr="00493B63">
        <w:t>ocument</w:t>
      </w:r>
      <w:r w:rsidR="000C6B4E">
        <w:t>s</w:t>
      </w:r>
      <w:r w:rsidR="000C6B4E" w:rsidRPr="00493B63">
        <w:t xml:space="preserve"> with </w:t>
      </w:r>
      <w:r w:rsidR="000C6B4E">
        <w:t>l</w:t>
      </w:r>
      <w:r w:rsidR="000C6B4E" w:rsidRPr="00493B63">
        <w:t xml:space="preserve">abor </w:t>
      </w:r>
      <w:r w:rsidR="000C6B4E">
        <w:t>s</w:t>
      </w:r>
      <w:r w:rsidR="000C6B4E" w:rsidRPr="00493B63">
        <w:t xml:space="preserve">tandards </w:t>
      </w:r>
      <w:r w:rsidR="000C6B4E">
        <w:t>p</w:t>
      </w:r>
      <w:r w:rsidR="000C6B4E" w:rsidRPr="00493B63">
        <w:t>rovisions included</w:t>
      </w:r>
      <w:r w:rsidR="008D109D">
        <w:t xml:space="preserve">, as </w:t>
      </w:r>
      <w:proofErr w:type="gramStart"/>
      <w:r w:rsidR="008D109D">
        <w:t>applicable</w:t>
      </w:r>
      <w:r w:rsidR="000C6B4E" w:rsidRPr="00493B63">
        <w:t>;</w:t>
      </w:r>
      <w:proofErr w:type="gramEnd"/>
    </w:p>
    <w:p w14:paraId="52B66C50" w14:textId="40CA0CF1" w:rsidR="000C6B4E" w:rsidRPr="00493B63" w:rsidRDefault="00D82142" w:rsidP="009333F8">
      <w:pPr>
        <w:pStyle w:val="BULLETS"/>
        <w:spacing w:line="240" w:lineRule="auto"/>
      </w:pPr>
      <w:r>
        <w:t>C</w:t>
      </w:r>
      <w:r w:rsidR="000C6B4E">
        <w:t xml:space="preserve">opies of all bid addenda, if </w:t>
      </w:r>
      <w:proofErr w:type="gramStart"/>
      <w:r w:rsidR="000C6B4E">
        <w:t>any;</w:t>
      </w:r>
      <w:proofErr w:type="gramEnd"/>
    </w:p>
    <w:p w14:paraId="3B660856" w14:textId="0240E91A" w:rsidR="000C6B4E" w:rsidRPr="00493B63" w:rsidRDefault="00D82142" w:rsidP="009333F8">
      <w:pPr>
        <w:pStyle w:val="BULLETS"/>
        <w:spacing w:line="240" w:lineRule="auto"/>
      </w:pPr>
      <w:r>
        <w:t>C</w:t>
      </w:r>
      <w:r w:rsidR="000C6B4E" w:rsidRPr="00493B63">
        <w:t xml:space="preserve">ontract </w:t>
      </w:r>
      <w:r w:rsidR="000C6B4E">
        <w:t>d</w:t>
      </w:r>
      <w:r w:rsidR="000C6B4E" w:rsidRPr="00493B63">
        <w:t>ocument</w:t>
      </w:r>
      <w:r w:rsidR="000C6B4E">
        <w:t>s</w:t>
      </w:r>
      <w:r w:rsidR="000C6B4E" w:rsidRPr="00493B63">
        <w:t xml:space="preserve"> with Labor Standards Provisions included</w:t>
      </w:r>
      <w:r w:rsidR="008D109D">
        <w:t xml:space="preserve">, as </w:t>
      </w:r>
      <w:proofErr w:type="gramStart"/>
      <w:r w:rsidR="008D109D">
        <w:t>applicable;</w:t>
      </w:r>
      <w:proofErr w:type="gramEnd"/>
    </w:p>
    <w:p w14:paraId="545AABD3" w14:textId="41B4526A" w:rsidR="000C6B4E" w:rsidRPr="00493B63" w:rsidRDefault="00D82142" w:rsidP="009333F8">
      <w:pPr>
        <w:pStyle w:val="BULLETS"/>
        <w:spacing w:line="240" w:lineRule="auto"/>
      </w:pPr>
      <w:r>
        <w:t>A</w:t>
      </w:r>
      <w:r w:rsidR="000C6B4E" w:rsidRPr="00493B63">
        <w:t xml:space="preserve">ctual </w:t>
      </w:r>
      <w:r w:rsidR="000C6B4E">
        <w:t>a</w:t>
      </w:r>
      <w:r w:rsidR="000C6B4E" w:rsidRPr="00493B63">
        <w:t xml:space="preserve">dvertisements for </w:t>
      </w:r>
      <w:r w:rsidR="000C6B4E">
        <w:t>bi</w:t>
      </w:r>
      <w:r w:rsidR="000C6B4E" w:rsidRPr="00493B63">
        <w:t>ds</w:t>
      </w:r>
      <w:r w:rsidR="000C6B4E">
        <w:t>—</w:t>
      </w:r>
      <w:r w:rsidR="000C6B4E" w:rsidRPr="00493B63">
        <w:t>either full page or with publisher's affidavits</w:t>
      </w:r>
      <w:r w:rsidR="000C6B4E">
        <w:t>—</w:t>
      </w:r>
      <w:r w:rsidR="000C6B4E" w:rsidRPr="00493B63">
        <w:t xml:space="preserve">or evidence of quotes/estimates received </w:t>
      </w:r>
      <w:r w:rsidR="000C6B4E">
        <w:t>f</w:t>
      </w:r>
      <w:r w:rsidR="000C6B4E" w:rsidRPr="00493B63">
        <w:t xml:space="preserve">or small purchase </w:t>
      </w:r>
      <w:proofErr w:type="gramStart"/>
      <w:r w:rsidR="000C6B4E" w:rsidRPr="00493B63">
        <w:t>procurement;</w:t>
      </w:r>
      <w:proofErr w:type="gramEnd"/>
    </w:p>
    <w:p w14:paraId="357E9CAA" w14:textId="1ED88743" w:rsidR="000C6B4E" w:rsidRPr="00493B63" w:rsidRDefault="00D82142" w:rsidP="009333F8">
      <w:pPr>
        <w:pStyle w:val="BULLETS"/>
        <w:spacing w:line="240" w:lineRule="auto"/>
      </w:pPr>
      <w:r>
        <w:t>B</w:t>
      </w:r>
      <w:r w:rsidR="000C6B4E" w:rsidRPr="00493B63">
        <w:t xml:space="preserve">ids </w:t>
      </w:r>
      <w:r w:rsidR="000C6B4E">
        <w:t>re</w:t>
      </w:r>
      <w:r w:rsidR="000C6B4E" w:rsidRPr="00493B63">
        <w:t xml:space="preserve">ceived or quotes </w:t>
      </w:r>
      <w:proofErr w:type="gramStart"/>
      <w:r w:rsidR="000C6B4E" w:rsidRPr="00493B63">
        <w:t>received</w:t>
      </w:r>
      <w:r w:rsidR="000C6B4E">
        <w:t>;</w:t>
      </w:r>
      <w:proofErr w:type="gramEnd"/>
      <w:r w:rsidR="000C6B4E" w:rsidRPr="00493B63">
        <w:t xml:space="preserve"> </w:t>
      </w:r>
    </w:p>
    <w:p w14:paraId="554CE585" w14:textId="236E1A75" w:rsidR="000C6B4E" w:rsidRDefault="00D82142" w:rsidP="009333F8">
      <w:pPr>
        <w:pStyle w:val="BULLETS"/>
        <w:spacing w:line="240" w:lineRule="auto"/>
      </w:pPr>
      <w:r>
        <w:t>M</w:t>
      </w:r>
      <w:r w:rsidR="000C6B4E" w:rsidRPr="009F3769">
        <w:t xml:space="preserve">inutes of the bid </w:t>
      </w:r>
      <w:proofErr w:type="gramStart"/>
      <w:r w:rsidR="000C6B4E" w:rsidRPr="009F3769">
        <w:t>opening</w:t>
      </w:r>
      <w:r w:rsidR="000C6B4E">
        <w:t>;</w:t>
      </w:r>
      <w:proofErr w:type="gramEnd"/>
    </w:p>
    <w:p w14:paraId="020E0F43" w14:textId="73913C79" w:rsidR="000C6B4E" w:rsidRPr="00493B63" w:rsidRDefault="00D82142" w:rsidP="009333F8">
      <w:pPr>
        <w:pStyle w:val="BULLETS"/>
        <w:spacing w:line="240" w:lineRule="auto"/>
      </w:pPr>
      <w:r>
        <w:t>V</w:t>
      </w:r>
      <w:r w:rsidR="000C6B4E">
        <w:t>e</w:t>
      </w:r>
      <w:r w:rsidR="000C6B4E" w:rsidRPr="00493B63">
        <w:t xml:space="preserve">rification that the </w:t>
      </w:r>
      <w:r w:rsidR="000C6B4E">
        <w:t>f</w:t>
      </w:r>
      <w:r w:rsidR="000C6B4E" w:rsidRPr="00493B63">
        <w:t xml:space="preserve">irm and </w:t>
      </w:r>
      <w:r w:rsidR="000C6B4E">
        <w:t>p</w:t>
      </w:r>
      <w:r w:rsidR="000C6B4E" w:rsidRPr="00493B63">
        <w:t xml:space="preserve">rincipals of </w:t>
      </w:r>
      <w:r w:rsidR="000C6B4E">
        <w:t>the f</w:t>
      </w:r>
      <w:r w:rsidR="000C6B4E" w:rsidRPr="00493B63">
        <w:t xml:space="preserve">irm are </w:t>
      </w:r>
      <w:r w:rsidR="000C6B4E" w:rsidRPr="00493B63">
        <w:rPr>
          <w:b/>
          <w:bCs/>
        </w:rPr>
        <w:t>not</w:t>
      </w:r>
      <w:r w:rsidR="000C6B4E" w:rsidRPr="00493B63">
        <w:t xml:space="preserve"> on the SAM.gov d</w:t>
      </w:r>
      <w:r w:rsidR="000C6B4E">
        <w:t>e</w:t>
      </w:r>
      <w:r w:rsidR="000C6B4E" w:rsidRPr="00493B63">
        <w:t>barred or suspended list</w:t>
      </w:r>
      <w:r w:rsidR="000C6B4E">
        <w:t xml:space="preserve">; provide a </w:t>
      </w:r>
      <w:r w:rsidR="000C6B4E" w:rsidRPr="00493B63">
        <w:t xml:space="preserve">printout of SAM.gov page with </w:t>
      </w:r>
      <w:proofErr w:type="gramStart"/>
      <w:r w:rsidR="000C6B4E" w:rsidRPr="00493B63">
        <w:t>date</w:t>
      </w:r>
      <w:r w:rsidR="000C6B4E">
        <w:t>;</w:t>
      </w:r>
      <w:proofErr w:type="gramEnd"/>
    </w:p>
    <w:p w14:paraId="706C3F0D" w14:textId="4C164B6C" w:rsidR="000C6B4E" w:rsidRPr="00493B63" w:rsidRDefault="00D82142" w:rsidP="009333F8">
      <w:pPr>
        <w:pStyle w:val="BULLETS"/>
        <w:spacing w:line="240" w:lineRule="auto"/>
      </w:pPr>
      <w:r>
        <w:t>A</w:t>
      </w:r>
      <w:r w:rsidR="000C6B4E">
        <w:t xml:space="preserve"> </w:t>
      </w:r>
      <w:r w:rsidR="000C6B4E" w:rsidRPr="00493B63">
        <w:t xml:space="preserve">signed </w:t>
      </w:r>
      <w:r w:rsidR="000C6B4E" w:rsidRPr="00493B63">
        <w:rPr>
          <w:i/>
          <w:iCs/>
        </w:rPr>
        <w:t>Certificate Regarding Lobbying</w:t>
      </w:r>
      <w:r w:rsidR="000C6B4E">
        <w:rPr>
          <w:i/>
          <w:iCs/>
        </w:rPr>
        <w:t xml:space="preserve"> </w:t>
      </w:r>
      <w:r w:rsidR="000C6B4E" w:rsidRPr="00493B63">
        <w:rPr>
          <w:b/>
          <w:bCs/>
        </w:rPr>
        <w:t>(Form</w:t>
      </w:r>
      <w:r w:rsidR="000C6B4E">
        <w:rPr>
          <w:b/>
          <w:bCs/>
        </w:rPr>
        <w:t xml:space="preserve"> 80-0013) </w:t>
      </w:r>
      <w:r w:rsidR="000C6B4E">
        <w:t>i</w:t>
      </w:r>
      <w:r w:rsidR="000C6B4E" w:rsidRPr="00493B63">
        <w:t xml:space="preserve">f contract </w:t>
      </w:r>
      <w:r w:rsidR="000C6B4E">
        <w:t>is greater than</w:t>
      </w:r>
      <w:r w:rsidR="000C6B4E" w:rsidRPr="00493B63">
        <w:t xml:space="preserve"> </w:t>
      </w:r>
      <w:proofErr w:type="gramStart"/>
      <w:r w:rsidR="000C6B4E" w:rsidRPr="00493B63">
        <w:t>$100,000</w:t>
      </w:r>
      <w:r w:rsidR="000C6B4E">
        <w:rPr>
          <w:b/>
          <w:bCs/>
        </w:rPr>
        <w:t>;</w:t>
      </w:r>
      <w:proofErr w:type="gramEnd"/>
    </w:p>
    <w:p w14:paraId="03BBBB08" w14:textId="6A4DC408" w:rsidR="000C6B4E" w:rsidRPr="00493B63" w:rsidRDefault="00D82142" w:rsidP="009333F8">
      <w:pPr>
        <w:pStyle w:val="BULLETS"/>
        <w:spacing w:line="240" w:lineRule="auto"/>
      </w:pPr>
      <w:r>
        <w:t>B</w:t>
      </w:r>
      <w:r w:rsidR="000C6B4E" w:rsidRPr="00493B63">
        <w:t xml:space="preserve">id </w:t>
      </w:r>
      <w:r w:rsidR="000C6B4E">
        <w:t>t</w:t>
      </w:r>
      <w:r w:rsidR="000C6B4E" w:rsidRPr="00493B63">
        <w:t xml:space="preserve">abulation </w:t>
      </w:r>
      <w:r w:rsidR="000C6B4E">
        <w:t>s</w:t>
      </w:r>
      <w:r w:rsidR="000C6B4E" w:rsidRPr="00493B63">
        <w:t>heet</w:t>
      </w:r>
      <w:r w:rsidR="000C6B4E">
        <w:t xml:space="preserve">s, </w:t>
      </w:r>
      <w:r w:rsidR="000C6B4E" w:rsidRPr="00493B63">
        <w:t>if applicable</w:t>
      </w:r>
      <w:r w:rsidR="000C6B4E">
        <w:t xml:space="preserve">; </w:t>
      </w:r>
      <w:r w:rsidR="000C6B4E" w:rsidRPr="00493B63">
        <w:t>and</w:t>
      </w:r>
    </w:p>
    <w:p w14:paraId="5402DC46" w14:textId="24A0309A" w:rsidR="000C6B4E" w:rsidRPr="00493B63" w:rsidRDefault="00D82142" w:rsidP="009333F8">
      <w:pPr>
        <w:pStyle w:val="BULLETS"/>
        <w:spacing w:line="240" w:lineRule="auto"/>
      </w:pPr>
      <w:r>
        <w:t>A</w:t>
      </w:r>
      <w:r w:rsidR="000C6B4E" w:rsidRPr="00493B63">
        <w:t xml:space="preserve"> copy of </w:t>
      </w:r>
      <w:proofErr w:type="gramStart"/>
      <w:r w:rsidR="000C6B4E" w:rsidRPr="00493B63">
        <w:t>council</w:t>
      </w:r>
      <w:proofErr w:type="gramEnd"/>
      <w:r w:rsidR="000C6B4E" w:rsidRPr="00493B63">
        <w:t>/commissioner court action awarding the contract</w:t>
      </w:r>
      <w:r w:rsidR="000C6B4E">
        <w:t>.</w:t>
      </w:r>
    </w:p>
    <w:p w14:paraId="0CC95661" w14:textId="77777777" w:rsidR="000C6B4E" w:rsidRDefault="000C6B4E" w:rsidP="009333F8"/>
    <w:p w14:paraId="23037EC3" w14:textId="77777777" w:rsidR="000C6B4E" w:rsidRDefault="000C6B4E" w:rsidP="009333F8">
      <w:pPr>
        <w:pStyle w:val="ACDBGBODYArial11"/>
        <w:spacing w:line="240" w:lineRule="auto"/>
      </w:pPr>
      <w:r w:rsidRPr="00764520">
        <w:rPr>
          <w:b/>
          <w:bCs/>
          <w:lang w:val="en-US"/>
        </w:rPr>
        <w:t>NOTE</w:t>
      </w:r>
      <w:r>
        <w:rPr>
          <w:lang w:val="en-US"/>
        </w:rPr>
        <w:t xml:space="preserve">: </w:t>
      </w:r>
      <w:r w:rsidRPr="009F3769">
        <w:t xml:space="preserve">After contract award, the opened bids must be kept on file and available for inspection by anyone desiring to see them. However, any trade secrets and/or confidential information in the proposals are subject to the restrictions of Section 252.049(b) of the Texas Local Government Code and Chapter 552 of the Texas Government Code.  </w:t>
      </w:r>
    </w:p>
    <w:p w14:paraId="5822C92B" w14:textId="77777777" w:rsidR="000C6B4E" w:rsidRPr="008F7212" w:rsidRDefault="000C6B4E" w:rsidP="009333F8">
      <w:pPr>
        <w:rPr>
          <w:color w:val="538135" w:themeColor="accent6" w:themeShade="BF"/>
        </w:rPr>
      </w:pPr>
    </w:p>
    <w:p w14:paraId="5EB780CE" w14:textId="29376D89" w:rsidR="00CC4705" w:rsidRPr="00057E28" w:rsidRDefault="00CC4705" w:rsidP="00CC4705">
      <w:pPr>
        <w:pStyle w:val="Heading2"/>
      </w:pPr>
      <w:bookmarkStart w:id="101" w:name="_Toc171786620"/>
      <w:bookmarkStart w:id="102" w:name="_Toc171786718"/>
      <w:r w:rsidRPr="00057E28">
        <w:t>5.7.</w:t>
      </w:r>
      <w:r w:rsidR="00240218" w:rsidRPr="00057E28">
        <w:t>5</w:t>
      </w:r>
      <w:r w:rsidRPr="00057E28">
        <w:t xml:space="preserve"> </w:t>
      </w:r>
      <w:r w:rsidR="00240218" w:rsidRPr="00057E28">
        <w:t>Certificate of Construction Completion (COCC)</w:t>
      </w:r>
      <w:bookmarkEnd w:id="101"/>
      <w:bookmarkEnd w:id="102"/>
    </w:p>
    <w:p w14:paraId="6747DFCE" w14:textId="3AA5D56E" w:rsidR="00CC4705" w:rsidRPr="00057E28" w:rsidRDefault="00240218" w:rsidP="009333F8">
      <w:r w:rsidRPr="00057E28">
        <w:t>Upon completion of the work included in the contract, all parties must agree that the work is acceptable.</w:t>
      </w:r>
    </w:p>
    <w:p w14:paraId="1D47AB33" w14:textId="2094C35E" w:rsidR="00240218" w:rsidRPr="00057E28" w:rsidRDefault="00B0653A" w:rsidP="00240218">
      <w:pPr>
        <w:pStyle w:val="BULLETS"/>
      </w:pPr>
      <w:r w:rsidRPr="00057E28">
        <w:t>For n</w:t>
      </w:r>
      <w:r w:rsidR="00240218" w:rsidRPr="00057E28">
        <w:t xml:space="preserve">on-construction services </w:t>
      </w:r>
      <w:r w:rsidRPr="00057E28">
        <w:t>and materials</w:t>
      </w:r>
      <w:r w:rsidR="00996C87">
        <w:t xml:space="preserve">/equipment </w:t>
      </w:r>
      <w:r w:rsidRPr="00057E28">
        <w:t xml:space="preserve">contracts, </w:t>
      </w:r>
      <w:r w:rsidR="00240218" w:rsidRPr="00057E28">
        <w:t xml:space="preserve">the </w:t>
      </w:r>
      <w:r w:rsidRPr="00057E28">
        <w:t>Work Completed page of the MSR must be completed and submitted through TDA-GO.  The printed COCC is not required.</w:t>
      </w:r>
    </w:p>
    <w:p w14:paraId="74909221" w14:textId="4B9E0229" w:rsidR="00B0653A" w:rsidRPr="00057E28" w:rsidRDefault="00B0653A" w:rsidP="00B0653A">
      <w:pPr>
        <w:pStyle w:val="BULLETS"/>
      </w:pPr>
      <w:r w:rsidRPr="00057E28">
        <w:t xml:space="preserve">For construction contracts, see </w:t>
      </w:r>
      <w:r w:rsidRPr="00057E28">
        <w:rPr>
          <w:i/>
          <w:iCs/>
        </w:rPr>
        <w:t>Chapter 7 Davis Bacon Labor Standards</w:t>
      </w:r>
      <w:r w:rsidRPr="00057E28">
        <w:t xml:space="preserve"> for additional information.</w:t>
      </w:r>
    </w:p>
    <w:p w14:paraId="498C57A7" w14:textId="77777777" w:rsidR="000C6B4E" w:rsidRDefault="000C6B4E" w:rsidP="009333F8"/>
    <w:p w14:paraId="280B8420" w14:textId="77777777" w:rsidR="000C6B4E" w:rsidRPr="00F32FEB" w:rsidRDefault="000C6B4E" w:rsidP="009333F8">
      <w:pPr>
        <w:pStyle w:val="ACDGBArial20Bold"/>
      </w:pPr>
      <w:bookmarkStart w:id="103" w:name="_Toc123110922"/>
      <w:bookmarkStart w:id="104" w:name="_Toc171786621"/>
      <w:bookmarkStart w:id="105" w:name="_Toc171786719"/>
      <w:r w:rsidRPr="00E45B41">
        <w:t>5.</w:t>
      </w:r>
      <w:r>
        <w:t>8</w:t>
      </w:r>
      <w:r w:rsidRPr="00E45B41">
        <w:t xml:space="preserve"> Federal </w:t>
      </w:r>
      <w:r>
        <w:t>and</w:t>
      </w:r>
      <w:r w:rsidRPr="00E45B41">
        <w:t xml:space="preserve"> State Laws Governing Procurement</w:t>
      </w:r>
      <w:r>
        <w:t xml:space="preserve"> of Services, Supplies and Non-Real Property</w:t>
      </w:r>
      <w:bookmarkEnd w:id="103"/>
      <w:bookmarkEnd w:id="104"/>
      <w:bookmarkEnd w:id="105"/>
    </w:p>
    <w:p w14:paraId="5CD88D06" w14:textId="77777777" w:rsidR="000C6B4E" w:rsidRDefault="000C6B4E" w:rsidP="009333F8">
      <w:pPr>
        <w:pStyle w:val="BodyText"/>
        <w:jc w:val="both"/>
        <w:rPr>
          <w:rFonts w:cs="Arial"/>
          <w:sz w:val="22"/>
          <w:szCs w:val="22"/>
        </w:rPr>
      </w:pPr>
    </w:p>
    <w:p w14:paraId="7AA7115E" w14:textId="77777777" w:rsidR="000C6B4E" w:rsidRDefault="000C6B4E" w:rsidP="009333F8">
      <w:pPr>
        <w:pStyle w:val="ACDBGBODYArial11"/>
        <w:spacing w:line="240" w:lineRule="auto"/>
        <w:rPr>
          <w:lang w:val="en-US"/>
        </w:rPr>
      </w:pPr>
      <w:r w:rsidRPr="00E45B41">
        <w:t xml:space="preserve">The laws and regulations described in this section apply to the procurement of services, supplies or non-real property in TxCDBG-funded projects. </w:t>
      </w:r>
    </w:p>
    <w:p w14:paraId="4BE63157" w14:textId="77777777" w:rsidR="000C6B4E" w:rsidRPr="008D219C" w:rsidRDefault="000C6B4E" w:rsidP="009333F8">
      <w:pPr>
        <w:pStyle w:val="Arial14Bold"/>
        <w:rPr>
          <w:sz w:val="22"/>
          <w:szCs w:val="22"/>
        </w:rPr>
      </w:pPr>
    </w:p>
    <w:p w14:paraId="58FFB28B" w14:textId="77777777" w:rsidR="000C6B4E" w:rsidRDefault="000C6B4E" w:rsidP="009333F8">
      <w:pPr>
        <w:pStyle w:val="Arial14Bold"/>
      </w:pPr>
      <w:bookmarkStart w:id="106" w:name="_Toc123110923"/>
      <w:bookmarkStart w:id="107" w:name="_Toc171786622"/>
      <w:bookmarkStart w:id="108" w:name="_Toc171786720"/>
      <w:r>
        <w:t>5.8</w:t>
      </w:r>
      <w:r w:rsidRPr="000B4E11">
        <w:t>.1 State Laws &amp; Regulations</w:t>
      </w:r>
      <w:bookmarkEnd w:id="106"/>
      <w:bookmarkEnd w:id="107"/>
      <w:bookmarkEnd w:id="108"/>
    </w:p>
    <w:p w14:paraId="64715376" w14:textId="77777777" w:rsidR="000C6B4E" w:rsidRPr="000B4E11" w:rsidRDefault="000C6B4E" w:rsidP="009333F8"/>
    <w:p w14:paraId="6A9BD551" w14:textId="77777777" w:rsidR="000C6B4E" w:rsidRPr="00446814" w:rsidRDefault="000C6B4E" w:rsidP="009333F8">
      <w:pPr>
        <w:pStyle w:val="ACDBGBODYArial11"/>
        <w:spacing w:line="240" w:lineRule="auto"/>
      </w:pPr>
      <w:r w:rsidRPr="00493B63">
        <w:rPr>
          <w:b/>
          <w:bCs/>
        </w:rPr>
        <w:t>NOTE</w:t>
      </w:r>
      <w:r w:rsidRPr="00F32FEB">
        <w:t xml:space="preserve">: The full text of state statutes may be found </w:t>
      </w:r>
      <w:r w:rsidRPr="00446814">
        <w:t xml:space="preserve">online at: </w:t>
      </w:r>
      <w:hyperlink r:id="rId19" w:history="1">
        <w:r w:rsidRPr="008A75F9">
          <w:rPr>
            <w:rStyle w:val="Hyperlink"/>
            <w:color w:val="auto"/>
          </w:rPr>
          <w:t>http://www.legis.state.tx.us/</w:t>
        </w:r>
      </w:hyperlink>
      <w:r w:rsidRPr="00446814">
        <w:t>.</w:t>
      </w:r>
    </w:p>
    <w:p w14:paraId="77538380" w14:textId="77777777" w:rsidR="000C6B4E" w:rsidRPr="00A169CB" w:rsidRDefault="000C6B4E" w:rsidP="009333F8">
      <w:pPr>
        <w:pStyle w:val="ACDBGBODYArial11"/>
        <w:spacing w:line="240" w:lineRule="auto"/>
      </w:pPr>
    </w:p>
    <w:p w14:paraId="59E8C819" w14:textId="77777777" w:rsidR="000C6B4E" w:rsidRPr="00493B63" w:rsidRDefault="000C6B4E" w:rsidP="009333F8">
      <w:pPr>
        <w:pStyle w:val="ACDBGBODYArial11"/>
        <w:spacing w:line="240" w:lineRule="auto"/>
      </w:pPr>
      <w:bookmarkStart w:id="109" w:name="_Toc453853244"/>
      <w:r w:rsidRPr="00493B63">
        <w:rPr>
          <w:b/>
          <w:bCs/>
        </w:rPr>
        <w:t>Texas Local Government Code</w:t>
      </w:r>
      <w:r w:rsidRPr="00493B63">
        <w:t xml:space="preserve"> </w:t>
      </w:r>
      <w:r>
        <w:rPr>
          <w:lang w:val="en-US"/>
        </w:rPr>
        <w:t>–</w:t>
      </w:r>
      <w:r w:rsidRPr="00493B63">
        <w:t xml:space="preserve"> </w:t>
      </w:r>
      <w:r w:rsidRPr="00D71DC7">
        <w:t>Chapter 252</w:t>
      </w:r>
      <w:r w:rsidRPr="00D71DC7">
        <w:rPr>
          <w:lang w:val="en-US"/>
        </w:rPr>
        <w:t xml:space="preserve">, </w:t>
      </w:r>
      <w:r w:rsidRPr="00D71DC7">
        <w:t>Municipalities</w:t>
      </w:r>
      <w:r w:rsidRPr="00D71DC7">
        <w:rPr>
          <w:lang w:val="en-US"/>
        </w:rPr>
        <w:t xml:space="preserve">, </w:t>
      </w:r>
      <w:r w:rsidRPr="00D71DC7">
        <w:t>and Chapter</w:t>
      </w:r>
      <w:r w:rsidRPr="008D219C">
        <w:rPr>
          <w:i/>
          <w:iCs/>
        </w:rPr>
        <w:t xml:space="preserve"> 262</w:t>
      </w:r>
      <w:r w:rsidRPr="008D219C">
        <w:rPr>
          <w:i/>
          <w:iCs/>
          <w:lang w:val="en-US"/>
        </w:rPr>
        <w:t>,</w:t>
      </w:r>
      <w:r>
        <w:rPr>
          <w:lang w:val="en-US"/>
        </w:rPr>
        <w:t xml:space="preserve"> </w:t>
      </w:r>
      <w:r w:rsidRPr="00493B63">
        <w:t>Counties</w:t>
      </w:r>
      <w:bookmarkEnd w:id="109"/>
    </w:p>
    <w:p w14:paraId="52515800" w14:textId="77777777" w:rsidR="000C6B4E" w:rsidRDefault="000C6B4E" w:rsidP="009333F8">
      <w:pPr>
        <w:jc w:val="both"/>
        <w:rPr>
          <w:rFonts w:cs="Arial"/>
          <w:szCs w:val="22"/>
        </w:rPr>
      </w:pPr>
    </w:p>
    <w:p w14:paraId="15A9C794" w14:textId="77777777" w:rsidR="000C6B4E" w:rsidRPr="00493B63" w:rsidRDefault="000C6B4E" w:rsidP="009333F8">
      <w:pPr>
        <w:pStyle w:val="ACDBGBODYArial11"/>
        <w:spacing w:line="240" w:lineRule="auto"/>
        <w:ind w:left="360"/>
        <w:rPr>
          <w:b/>
          <w:bCs/>
        </w:rPr>
      </w:pPr>
      <w:r w:rsidRPr="00D71DC7">
        <w:rPr>
          <w:b/>
          <w:bCs/>
        </w:rPr>
        <w:t>Chapter</w:t>
      </w:r>
      <w:r w:rsidRPr="008D219C">
        <w:rPr>
          <w:b/>
          <w:bCs/>
          <w:i/>
          <w:iCs/>
        </w:rPr>
        <w:t xml:space="preserve"> </w:t>
      </w:r>
      <w:r w:rsidRPr="00D71DC7">
        <w:rPr>
          <w:b/>
          <w:bCs/>
        </w:rPr>
        <w:t>252</w:t>
      </w:r>
      <w:r w:rsidRPr="00493B63">
        <w:rPr>
          <w:b/>
          <w:bCs/>
        </w:rPr>
        <w:t xml:space="preserve"> Municipal Grant Recipients Construction Bidding Procedures</w:t>
      </w:r>
    </w:p>
    <w:p w14:paraId="2D5A287F" w14:textId="77777777" w:rsidR="000C6B4E" w:rsidRDefault="000C6B4E" w:rsidP="009333F8">
      <w:pPr>
        <w:pStyle w:val="ACDBGBODYArial11"/>
        <w:spacing w:line="240" w:lineRule="auto"/>
        <w:ind w:left="360"/>
      </w:pPr>
      <w:r>
        <w:t>M</w:t>
      </w:r>
      <w:r w:rsidRPr="00E45B41">
        <w:t xml:space="preserve">unicipal Grant Recipients are generally required to conduct competitive sealed bid procurement for all contracts over $50,000.  </w:t>
      </w:r>
    </w:p>
    <w:p w14:paraId="76D05EA9" w14:textId="77777777" w:rsidR="000C6B4E" w:rsidRDefault="000C6B4E" w:rsidP="009333F8">
      <w:pPr>
        <w:pStyle w:val="ACDBGBODYArial11"/>
        <w:spacing w:line="240" w:lineRule="auto"/>
        <w:ind w:left="360"/>
      </w:pPr>
    </w:p>
    <w:p w14:paraId="32CC6106" w14:textId="38EE8505" w:rsidR="000C6B4E" w:rsidRDefault="000C6B4E" w:rsidP="009333F8">
      <w:pPr>
        <w:pStyle w:val="ACDBGBODYArial11"/>
        <w:spacing w:line="240" w:lineRule="auto"/>
        <w:ind w:left="360"/>
      </w:pPr>
      <w:r w:rsidRPr="00E45B41">
        <w:t>Municipalities are required by state law to advertise their invitation for bids in a newspaper published in the municipality at least once a week for two consecutive weeks.</w:t>
      </w:r>
      <w:r>
        <w:rPr>
          <w:lang w:val="en-US"/>
        </w:rPr>
        <w:t xml:space="preserve"> </w:t>
      </w:r>
      <w:r w:rsidRPr="00E45B41">
        <w:t>The date of the first publication must be before the 14th day before the date set to publicly open the bids</w:t>
      </w:r>
      <w:r>
        <w:rPr>
          <w:lang w:val="en-US"/>
        </w:rPr>
        <w:t xml:space="preserve">. </w:t>
      </w:r>
      <w:r w:rsidRPr="00E45B41">
        <w:t>If no newspaper is published in the municipality, the notice must be posted at city hall for fourteen days prior to the date of the bid opening</w:t>
      </w:r>
      <w:r>
        <w:t>.</w:t>
      </w:r>
      <w:r w:rsidR="00227379">
        <w:rPr>
          <w:rStyle w:val="FootnoteReference"/>
        </w:rPr>
        <w:footnoteReference w:id="42"/>
      </w:r>
      <w:r>
        <w:t xml:space="preserve"> </w:t>
      </w:r>
    </w:p>
    <w:p w14:paraId="65B2DEBF" w14:textId="77777777" w:rsidR="000C6B4E" w:rsidRPr="00E45B41" w:rsidRDefault="000C6B4E" w:rsidP="009333F8">
      <w:pPr>
        <w:pStyle w:val="ACDBGBODYArial11"/>
        <w:spacing w:line="240" w:lineRule="auto"/>
        <w:ind w:left="360"/>
      </w:pPr>
    </w:p>
    <w:p w14:paraId="1A182EBD" w14:textId="77777777" w:rsidR="000C6B4E" w:rsidRPr="00493B63" w:rsidRDefault="000C6B4E" w:rsidP="009333F8">
      <w:pPr>
        <w:pStyle w:val="ACDBGBODYArial11"/>
        <w:spacing w:line="240" w:lineRule="auto"/>
        <w:ind w:left="360"/>
        <w:rPr>
          <w:b/>
          <w:bCs/>
        </w:rPr>
      </w:pPr>
      <w:r w:rsidRPr="00493B63">
        <w:rPr>
          <w:b/>
          <w:bCs/>
        </w:rPr>
        <w:t>Chapter 262 County Grant Recipients Construction Bidding Procedures</w:t>
      </w:r>
    </w:p>
    <w:p w14:paraId="2CC5CAF9" w14:textId="77777777" w:rsidR="000C6B4E" w:rsidRPr="00855CE2" w:rsidRDefault="000C6B4E" w:rsidP="009333F8">
      <w:pPr>
        <w:pStyle w:val="ACDBGBODYArial11"/>
        <w:spacing w:line="240" w:lineRule="auto"/>
        <w:ind w:left="360"/>
      </w:pPr>
      <w:r w:rsidRPr="00855CE2">
        <w:t xml:space="preserve">County Grant Recipients are generally required to conduct competitive sealed bid procurement for all contracts over $50,000.  </w:t>
      </w:r>
    </w:p>
    <w:p w14:paraId="3B0882C8" w14:textId="77777777" w:rsidR="000C6B4E" w:rsidRPr="00855CE2" w:rsidRDefault="000C6B4E" w:rsidP="009333F8">
      <w:pPr>
        <w:pStyle w:val="ACDBGBODYArial11"/>
        <w:spacing w:line="240" w:lineRule="auto"/>
        <w:ind w:left="360"/>
      </w:pPr>
    </w:p>
    <w:p w14:paraId="508E01B4" w14:textId="6F1B22EE" w:rsidR="000C6B4E" w:rsidRDefault="000C6B4E" w:rsidP="009333F8">
      <w:pPr>
        <w:pStyle w:val="ACDBGBODYArial11"/>
        <w:spacing w:line="240" w:lineRule="auto"/>
        <w:ind w:left="360"/>
      </w:pPr>
      <w:r w:rsidRPr="00855CE2">
        <w:t>Counties are required by state law to publish a notice in a newspaper of general circulation in the county at least once a week for two consecutive weeks, with the first day of publication occurring at least fourteen days before the date of the bid opening. If there is no newspaper of general circulation in the county, the notice must be posted in a prominent place in the courthouse for fourteen days prior to the date of the bid opening.</w:t>
      </w:r>
      <w:r w:rsidR="00227379">
        <w:rPr>
          <w:rStyle w:val="FootnoteReference"/>
        </w:rPr>
        <w:footnoteReference w:id="43"/>
      </w:r>
      <w:r w:rsidRPr="00855CE2">
        <w:t xml:space="preserve"> </w:t>
      </w:r>
    </w:p>
    <w:p w14:paraId="615DC3A8" w14:textId="77777777" w:rsidR="002B05E9" w:rsidRDefault="002B05E9" w:rsidP="002B05E9">
      <w:pPr>
        <w:pStyle w:val="BULLETS"/>
        <w:numPr>
          <w:ilvl w:val="0"/>
          <w:numId w:val="0"/>
        </w:numPr>
        <w:spacing w:line="240" w:lineRule="auto"/>
        <w:ind w:left="360"/>
        <w:rPr>
          <w:b/>
          <w:bCs/>
        </w:rPr>
      </w:pPr>
    </w:p>
    <w:p w14:paraId="3BC9AD7C" w14:textId="63196C54" w:rsidR="00FC7B42" w:rsidRPr="002B05E9" w:rsidRDefault="00FC7B42" w:rsidP="002B05E9">
      <w:pPr>
        <w:pStyle w:val="BULLETS"/>
        <w:numPr>
          <w:ilvl w:val="0"/>
          <w:numId w:val="0"/>
        </w:numPr>
        <w:spacing w:line="240" w:lineRule="auto"/>
        <w:ind w:left="360"/>
        <w:rPr>
          <w:color w:val="2F5496" w:themeColor="accent1" w:themeShade="BF"/>
        </w:rPr>
      </w:pPr>
      <w:r w:rsidRPr="002B05E9">
        <w:rPr>
          <w:b/>
          <w:bCs/>
          <w:color w:val="2F5496" w:themeColor="accent1" w:themeShade="BF"/>
        </w:rPr>
        <w:t>NOTE:</w:t>
      </w:r>
      <w:r w:rsidRPr="002B05E9">
        <w:rPr>
          <w:color w:val="2F5496" w:themeColor="accent1" w:themeShade="BF"/>
        </w:rPr>
        <w:t xml:space="preserve"> TDA program policy requires that the first publication date for both municipalities and</w:t>
      </w:r>
      <w:r w:rsidR="008D109D" w:rsidRPr="002B05E9">
        <w:rPr>
          <w:color w:val="2F5496" w:themeColor="accent1" w:themeShade="BF"/>
        </w:rPr>
        <w:t xml:space="preserve"> </w:t>
      </w:r>
      <w:r w:rsidRPr="002B05E9">
        <w:rPr>
          <w:color w:val="2F5496" w:themeColor="accent1" w:themeShade="BF"/>
        </w:rPr>
        <w:t>counties is at least fifteen (15) days prior to the bid opening date.</w:t>
      </w:r>
    </w:p>
    <w:p w14:paraId="00D23249" w14:textId="77777777" w:rsidR="00FC7B42" w:rsidRDefault="00FC7B42" w:rsidP="009333F8">
      <w:pPr>
        <w:jc w:val="both"/>
        <w:rPr>
          <w:rFonts w:cs="Arial"/>
          <w:szCs w:val="22"/>
        </w:rPr>
      </w:pPr>
    </w:p>
    <w:p w14:paraId="3ABB8F55" w14:textId="77777777" w:rsidR="000C6B4E" w:rsidRPr="00E45B41" w:rsidRDefault="000C6B4E" w:rsidP="009333F8">
      <w:pPr>
        <w:jc w:val="both"/>
        <w:rPr>
          <w:rFonts w:cs="Arial"/>
          <w:szCs w:val="22"/>
        </w:rPr>
      </w:pPr>
      <w:r w:rsidRPr="00E45B41">
        <w:rPr>
          <w:rFonts w:cs="Arial"/>
          <w:b/>
          <w:szCs w:val="22"/>
        </w:rPr>
        <w:t>Texas Government Code</w:t>
      </w:r>
      <w:r>
        <w:rPr>
          <w:rFonts w:cs="Arial"/>
          <w:b/>
          <w:szCs w:val="22"/>
        </w:rPr>
        <w:t xml:space="preserve"> </w:t>
      </w:r>
      <w:r w:rsidRPr="00227379">
        <w:rPr>
          <w:rFonts w:cs="Arial"/>
          <w:bCs/>
          <w:szCs w:val="22"/>
        </w:rPr>
        <w:t>–</w:t>
      </w:r>
      <w:r>
        <w:rPr>
          <w:rFonts w:cs="Arial"/>
          <w:b/>
          <w:szCs w:val="22"/>
        </w:rPr>
        <w:t xml:space="preserve"> </w:t>
      </w:r>
      <w:r w:rsidRPr="00D71DC7">
        <w:rPr>
          <w:rFonts w:cs="Arial"/>
          <w:b/>
          <w:szCs w:val="22"/>
        </w:rPr>
        <w:t>Chapter 2253,</w:t>
      </w:r>
      <w:r w:rsidRPr="00E45B41">
        <w:rPr>
          <w:rFonts w:cs="Arial"/>
          <w:b/>
          <w:szCs w:val="22"/>
        </w:rPr>
        <w:t xml:space="preserve"> Public Work Performance and Payment Bonds</w:t>
      </w:r>
      <w:r w:rsidRPr="00E45B41">
        <w:rPr>
          <w:rFonts w:cs="Arial"/>
          <w:szCs w:val="22"/>
        </w:rPr>
        <w:t xml:space="preserve"> </w:t>
      </w:r>
      <w:r>
        <w:rPr>
          <w:rFonts w:cs="Arial"/>
          <w:szCs w:val="22"/>
        </w:rPr>
        <w:t>c</w:t>
      </w:r>
      <w:r w:rsidRPr="00E45B41">
        <w:rPr>
          <w:rFonts w:cs="Arial"/>
          <w:szCs w:val="22"/>
        </w:rPr>
        <w:t>overs bonding requirements.</w:t>
      </w:r>
    </w:p>
    <w:p w14:paraId="487694F5" w14:textId="77777777" w:rsidR="000C6B4E" w:rsidRDefault="000C6B4E" w:rsidP="009333F8">
      <w:pPr>
        <w:jc w:val="both"/>
        <w:rPr>
          <w:rFonts w:cs="Arial"/>
          <w:szCs w:val="22"/>
        </w:rPr>
      </w:pPr>
    </w:p>
    <w:bookmarkEnd w:id="95"/>
    <w:bookmarkEnd w:id="96"/>
    <w:bookmarkEnd w:id="97"/>
    <w:p w14:paraId="083D561F" w14:textId="77777777" w:rsidR="000C6B4E" w:rsidRPr="00E45B41" w:rsidRDefault="000C6B4E" w:rsidP="009333F8">
      <w:pPr>
        <w:pStyle w:val="ACDBGBODYArial11"/>
        <w:spacing w:line="240" w:lineRule="auto"/>
        <w:rPr>
          <w:u w:val="single"/>
        </w:rPr>
      </w:pPr>
      <w:r w:rsidRPr="00195861">
        <w:rPr>
          <w:b/>
        </w:rPr>
        <w:t>Texas Government Code</w:t>
      </w:r>
      <w:r>
        <w:rPr>
          <w:b/>
        </w:rPr>
        <w:t xml:space="preserve"> </w:t>
      </w:r>
      <w:r w:rsidRPr="00227379">
        <w:rPr>
          <w:bCs/>
          <w:lang w:val="en-US"/>
        </w:rPr>
        <w:t>–</w:t>
      </w:r>
      <w:r>
        <w:rPr>
          <w:b/>
        </w:rPr>
        <w:t xml:space="preserve"> </w:t>
      </w:r>
      <w:r w:rsidRPr="00D71DC7">
        <w:rPr>
          <w:b/>
        </w:rPr>
        <w:t>Chapter 2254</w:t>
      </w:r>
      <w:r w:rsidRPr="00195861">
        <w:rPr>
          <w:b/>
        </w:rPr>
        <w:t xml:space="preserve">. </w:t>
      </w:r>
      <w:r w:rsidRPr="00195861">
        <w:t>This chapter is also known as the Professional Service</w:t>
      </w:r>
      <w:r>
        <w:rPr>
          <w:lang w:val="en-US"/>
        </w:rPr>
        <w:t>s</w:t>
      </w:r>
      <w:r w:rsidRPr="00195861">
        <w:t xml:space="preserve"> Procurement Act. Chapter 2254 governs the local government procurement of professional services. It prohibits the procurement of architects, engineers, or surveyors</w:t>
      </w:r>
      <w:r>
        <w:rPr>
          <w:lang w:val="en-US"/>
        </w:rPr>
        <w:t>,</w:t>
      </w:r>
      <w:r w:rsidRPr="00195861">
        <w:t xml:space="preserve"> based on bid price and requires government entities to first select the most highly qualified provider based on demonstrated competence and </w:t>
      </w:r>
      <w:r w:rsidRPr="00493B63">
        <w:t>qualifications, and then attempt to negotiate with that provider a contract at a fair and reasonable price.</w:t>
      </w:r>
      <w:r w:rsidRPr="00E45B41">
        <w:t xml:space="preserve"> </w:t>
      </w:r>
    </w:p>
    <w:p w14:paraId="341D91F1" w14:textId="77777777" w:rsidR="000C6B4E" w:rsidRPr="00E45B41" w:rsidRDefault="000C6B4E" w:rsidP="009333F8">
      <w:pPr>
        <w:jc w:val="both"/>
        <w:rPr>
          <w:rFonts w:cs="Arial"/>
          <w:szCs w:val="22"/>
        </w:rPr>
      </w:pPr>
    </w:p>
    <w:p w14:paraId="6D74AA9B" w14:textId="77777777" w:rsidR="000C6B4E" w:rsidRPr="00E45B41" w:rsidRDefault="000C6B4E" w:rsidP="009333F8">
      <w:pPr>
        <w:pStyle w:val="ACDBGBODYArial11"/>
        <w:spacing w:line="240" w:lineRule="auto"/>
      </w:pPr>
      <w:r w:rsidRPr="00E45B41">
        <w:rPr>
          <w:b/>
        </w:rPr>
        <w:t>Texas Local Government Code</w:t>
      </w:r>
      <w:r>
        <w:rPr>
          <w:b/>
          <w:lang w:val="en-US"/>
        </w:rPr>
        <w:t xml:space="preserve"> </w:t>
      </w:r>
      <w:r w:rsidRPr="00227379">
        <w:rPr>
          <w:bCs/>
          <w:lang w:val="en-US"/>
        </w:rPr>
        <w:t>–</w:t>
      </w:r>
      <w:r>
        <w:rPr>
          <w:b/>
          <w:lang w:val="en-US"/>
        </w:rPr>
        <w:t xml:space="preserve"> </w:t>
      </w:r>
      <w:r w:rsidRPr="00D71DC7">
        <w:rPr>
          <w:b/>
        </w:rPr>
        <w:t>Chapter 171</w:t>
      </w:r>
      <w:r w:rsidRPr="009B619F">
        <w:rPr>
          <w:b/>
          <w:i/>
          <w:iCs/>
        </w:rPr>
        <w:t>.</w:t>
      </w:r>
      <w:r w:rsidRPr="00E45B41">
        <w:rPr>
          <w:b/>
        </w:rPr>
        <w:t xml:space="preserve"> </w:t>
      </w:r>
      <w:r w:rsidRPr="00E45B41">
        <w:t xml:space="preserve">This </w:t>
      </w:r>
      <w:r>
        <w:t>chapter</w:t>
      </w:r>
      <w:r w:rsidRPr="00E45B41">
        <w:t xml:space="preserve"> requires local government officials to </w:t>
      </w:r>
      <w:r w:rsidRPr="00493B63">
        <w:t>disclose conflicts of interest and sets forth rules that require officials to abstain where they are in a position to vote or make a decision on any matter involving a business entity or real property for which they have an interest.</w:t>
      </w:r>
      <w:r w:rsidRPr="00E45B41">
        <w:t xml:space="preserve"> </w:t>
      </w:r>
    </w:p>
    <w:p w14:paraId="2FC1F744" w14:textId="77777777" w:rsidR="000C6B4E" w:rsidRPr="00E45B41" w:rsidRDefault="000C6B4E" w:rsidP="009333F8">
      <w:pPr>
        <w:jc w:val="both"/>
        <w:rPr>
          <w:rFonts w:cs="Arial"/>
          <w:szCs w:val="22"/>
        </w:rPr>
      </w:pPr>
    </w:p>
    <w:p w14:paraId="3F37C864" w14:textId="1BFF5C68" w:rsidR="000C6B4E" w:rsidRPr="00E45B41" w:rsidRDefault="000C6B4E" w:rsidP="009333F8">
      <w:pPr>
        <w:pStyle w:val="ACDBGBODYArial11"/>
        <w:spacing w:line="240" w:lineRule="auto"/>
      </w:pPr>
      <w:r w:rsidRPr="00E45B41">
        <w:rPr>
          <w:b/>
        </w:rPr>
        <w:t>Texas Engineering Practice Act</w:t>
      </w:r>
      <w:r>
        <w:rPr>
          <w:b/>
        </w:rPr>
        <w:t xml:space="preserve"> </w:t>
      </w:r>
      <w:r w:rsidRPr="00227379">
        <w:rPr>
          <w:bCs/>
          <w:lang w:val="en-US"/>
        </w:rPr>
        <w:t>–</w:t>
      </w:r>
      <w:r>
        <w:rPr>
          <w:b/>
        </w:rPr>
        <w:t xml:space="preserve"> </w:t>
      </w:r>
      <w:r w:rsidRPr="00D71DC7">
        <w:rPr>
          <w:b/>
        </w:rPr>
        <w:t>Chapter 1001</w:t>
      </w:r>
      <w:r>
        <w:rPr>
          <w:b/>
          <w:i/>
          <w:iCs/>
          <w:lang w:val="en-US"/>
        </w:rPr>
        <w:t>,</w:t>
      </w:r>
      <w:r w:rsidRPr="00493B63">
        <w:rPr>
          <w:b/>
        </w:rPr>
        <w:t xml:space="preserve"> Texas Occupations Code.</w:t>
      </w:r>
      <w:r w:rsidRPr="00E45B41">
        <w:t xml:space="preserve"> This Act states that a registered professional engineer must be hired to prepare plans, specifications, and estimates for any public works activities in accordance with this Act. The engineer must directly supervise the project in order to ensure the public health, safety, and welfare; however, this Act does not apply to road maintenance or betterment work undertaken by </w:t>
      </w:r>
      <w:r w:rsidR="0031321F">
        <w:rPr>
          <w:lang w:val="en-US"/>
        </w:rPr>
        <w:t>counties</w:t>
      </w:r>
      <w:r w:rsidRPr="00E45B41">
        <w:t xml:space="preserve">. </w:t>
      </w:r>
    </w:p>
    <w:p w14:paraId="5A0F7241" w14:textId="77777777" w:rsidR="000C6B4E" w:rsidRPr="00E45B41" w:rsidRDefault="000C6B4E" w:rsidP="009333F8">
      <w:pPr>
        <w:ind w:left="1440" w:hanging="720"/>
        <w:jc w:val="both"/>
        <w:rPr>
          <w:rFonts w:cs="Arial"/>
          <w:szCs w:val="22"/>
        </w:rPr>
      </w:pPr>
    </w:p>
    <w:p w14:paraId="1D9EFDDC" w14:textId="77777777" w:rsidR="000C6B4E" w:rsidRDefault="000C6B4E" w:rsidP="009333F8">
      <w:pPr>
        <w:jc w:val="both"/>
        <w:rPr>
          <w:rFonts w:cs="Arial"/>
          <w:szCs w:val="22"/>
        </w:rPr>
      </w:pPr>
      <w:r w:rsidRPr="00E45B41">
        <w:rPr>
          <w:rFonts w:cs="Arial"/>
          <w:b/>
          <w:szCs w:val="22"/>
        </w:rPr>
        <w:t>Procurement Standards</w:t>
      </w:r>
      <w:r>
        <w:rPr>
          <w:rFonts w:cs="Arial"/>
          <w:szCs w:val="22"/>
        </w:rPr>
        <w:t xml:space="preserve"> – Texas</w:t>
      </w:r>
      <w:r w:rsidRPr="00E45B41">
        <w:rPr>
          <w:rFonts w:cs="Arial"/>
          <w:szCs w:val="22"/>
        </w:rPr>
        <w:t xml:space="preserve"> Grant Management Standards (</w:t>
      </w:r>
      <w:proofErr w:type="spellStart"/>
      <w:r>
        <w:rPr>
          <w:rFonts w:cs="Arial"/>
          <w:szCs w:val="22"/>
        </w:rPr>
        <w:t>Tx</w:t>
      </w:r>
      <w:r w:rsidRPr="00E45B41">
        <w:rPr>
          <w:rFonts w:cs="Arial"/>
          <w:szCs w:val="22"/>
        </w:rPr>
        <w:t>GMS</w:t>
      </w:r>
      <w:proofErr w:type="spellEnd"/>
      <w:r w:rsidRPr="00E45B41">
        <w:rPr>
          <w:rFonts w:cs="Arial"/>
          <w:szCs w:val="22"/>
        </w:rPr>
        <w:t>)</w:t>
      </w:r>
      <w:r>
        <w:rPr>
          <w:rFonts w:cs="Arial"/>
          <w:szCs w:val="22"/>
        </w:rPr>
        <w:t>, Texas Comptroller of Public Accounts</w:t>
      </w:r>
    </w:p>
    <w:p w14:paraId="777D9704" w14:textId="77777777" w:rsidR="000C6B4E" w:rsidRDefault="000C6B4E" w:rsidP="009333F8">
      <w:pPr>
        <w:jc w:val="both"/>
        <w:rPr>
          <w:rFonts w:cs="Arial"/>
          <w:szCs w:val="22"/>
        </w:rPr>
      </w:pPr>
    </w:p>
    <w:p w14:paraId="28177A34" w14:textId="77777777" w:rsidR="000C6B4E" w:rsidRDefault="000C6B4E" w:rsidP="009333F8">
      <w:pPr>
        <w:pStyle w:val="ACDBGBODYArial11"/>
        <w:spacing w:line="240" w:lineRule="auto"/>
        <w:rPr>
          <w:sz w:val="20"/>
          <w:szCs w:val="20"/>
        </w:rPr>
      </w:pPr>
      <w:r w:rsidRPr="000B4E11">
        <w:rPr>
          <w:b/>
        </w:rPr>
        <w:t>Conflict of Interest</w:t>
      </w:r>
      <w:r>
        <w:t xml:space="preserve"> </w:t>
      </w:r>
      <w:r>
        <w:rPr>
          <w:lang w:val="en-US"/>
        </w:rPr>
        <w:t>–</w:t>
      </w:r>
      <w:r>
        <w:t xml:space="preserve"> </w:t>
      </w:r>
      <w:r w:rsidRPr="00E45B41">
        <w:t>Nepotism and conflict of interest regulations can be found in the Te</w:t>
      </w:r>
      <w:r>
        <w:t>xas Government Code</w:t>
      </w:r>
      <w:r>
        <w:rPr>
          <w:lang w:val="en-US"/>
        </w:rPr>
        <w:t>,</w:t>
      </w:r>
      <w:r>
        <w:t xml:space="preserve"> </w:t>
      </w:r>
      <w:r w:rsidRPr="00927E60">
        <w:t>Chapter 573</w:t>
      </w:r>
      <w:r w:rsidRPr="00927E60">
        <w:rPr>
          <w:lang w:val="en-US"/>
        </w:rPr>
        <w:t>;</w:t>
      </w:r>
      <w:r>
        <w:t xml:space="preserve"> </w:t>
      </w:r>
      <w:r w:rsidRPr="00E45B41">
        <w:t>Texas Local Government Code</w:t>
      </w:r>
      <w:r>
        <w:rPr>
          <w:lang w:val="en-US"/>
        </w:rPr>
        <w:t>,</w:t>
      </w:r>
      <w:r w:rsidRPr="00E45B41">
        <w:t xml:space="preserve"> </w:t>
      </w:r>
      <w:r w:rsidRPr="00927E60">
        <w:t>Chapter 171</w:t>
      </w:r>
      <w:r>
        <w:rPr>
          <w:i/>
          <w:iCs/>
          <w:lang w:val="en-US"/>
        </w:rPr>
        <w:t>;</w:t>
      </w:r>
      <w:r>
        <w:t xml:space="preserve"> </w:t>
      </w:r>
      <w:r w:rsidRPr="00B81846">
        <w:t xml:space="preserve">and </w:t>
      </w:r>
      <w:r>
        <w:rPr>
          <w:lang w:val="en-US"/>
        </w:rPr>
        <w:t>Tx</w:t>
      </w:r>
      <w:r w:rsidRPr="00B81846">
        <w:t>GMS</w:t>
      </w:r>
      <w:r>
        <w:t xml:space="preserve">. </w:t>
      </w:r>
    </w:p>
    <w:p w14:paraId="1CA5FBD8" w14:textId="77777777" w:rsidR="00006C59" w:rsidRDefault="00006C59" w:rsidP="009333F8">
      <w:pPr>
        <w:jc w:val="both"/>
        <w:rPr>
          <w:rFonts w:cs="Arial"/>
          <w:szCs w:val="22"/>
        </w:rPr>
      </w:pPr>
    </w:p>
    <w:p w14:paraId="5314A88F" w14:textId="77777777" w:rsidR="000C6B4E" w:rsidRDefault="000C6B4E" w:rsidP="009333F8">
      <w:pPr>
        <w:pStyle w:val="Arial14Bold"/>
      </w:pPr>
      <w:bookmarkStart w:id="110" w:name="_Toc123110924"/>
      <w:bookmarkStart w:id="111" w:name="_Toc171786623"/>
      <w:bookmarkStart w:id="112" w:name="_Toc171786721"/>
      <w:r w:rsidRPr="00493B63">
        <w:t>5.</w:t>
      </w:r>
      <w:r>
        <w:t>8</w:t>
      </w:r>
      <w:r w:rsidRPr="00493B63">
        <w:t>.2 Federal Laws &amp; Regulations</w:t>
      </w:r>
      <w:bookmarkEnd w:id="110"/>
      <w:bookmarkEnd w:id="111"/>
      <w:bookmarkEnd w:id="112"/>
    </w:p>
    <w:p w14:paraId="5A935BC7" w14:textId="77777777" w:rsidR="000C6B4E" w:rsidRPr="00493B63" w:rsidRDefault="000C6B4E" w:rsidP="009333F8"/>
    <w:p w14:paraId="6234B55C" w14:textId="77777777" w:rsidR="000C6B4E" w:rsidRPr="003B0903" w:rsidRDefault="000C6B4E" w:rsidP="009333F8">
      <w:pPr>
        <w:pStyle w:val="ACDBGBODYArial11"/>
        <w:spacing w:line="240" w:lineRule="auto"/>
        <w:rPr>
          <w:b/>
          <w:bCs/>
        </w:rPr>
      </w:pPr>
      <w:bookmarkStart w:id="113" w:name="_Toc453853245"/>
      <w:r w:rsidRPr="003B0903">
        <w:rPr>
          <w:b/>
          <w:bCs/>
        </w:rPr>
        <w:t>24 CFR §570</w:t>
      </w:r>
    </w:p>
    <w:p w14:paraId="1B1E82FC" w14:textId="774C7B72" w:rsidR="000C6B4E" w:rsidRDefault="000C6B4E" w:rsidP="009333F8">
      <w:pPr>
        <w:pStyle w:val="ACDBGBODYArial11"/>
        <w:spacing w:line="240" w:lineRule="auto"/>
        <w:rPr>
          <w:lang w:val="en-US"/>
        </w:rPr>
      </w:pPr>
      <w:r w:rsidRPr="00B81846">
        <w:t xml:space="preserve">Portions of 2 </w:t>
      </w:r>
      <w:r>
        <w:t xml:space="preserve">CFR </w:t>
      </w:r>
      <w:r>
        <w:rPr>
          <w:lang w:val="en-US"/>
        </w:rPr>
        <w:t>Part</w:t>
      </w:r>
      <w:r w:rsidR="0033541F">
        <w:rPr>
          <w:lang w:val="en-US"/>
        </w:rPr>
        <w:t xml:space="preserve"> </w:t>
      </w:r>
      <w:r w:rsidRPr="00B81846">
        <w:t xml:space="preserve">200, Uniform Administrative Requirements, </w:t>
      </w:r>
      <w:r w:rsidR="0031321F">
        <w:rPr>
          <w:lang w:val="en-US"/>
        </w:rPr>
        <w:t>Cost Principles</w:t>
      </w:r>
      <w:r w:rsidRPr="00B81846">
        <w:t xml:space="preserve">, and Audit Requirements for Federal Awards, as further specified by program regulations in 24 </w:t>
      </w:r>
      <w:r>
        <w:t xml:space="preserve">CFR </w:t>
      </w:r>
      <w:r w:rsidRPr="00B81846">
        <w:t>Part 570</w:t>
      </w:r>
      <w:r w:rsidR="0033541F">
        <w:rPr>
          <w:lang w:val="en-US"/>
        </w:rPr>
        <w:t>,</w:t>
      </w:r>
      <w:r>
        <w:rPr>
          <w:lang w:val="en-US"/>
        </w:rPr>
        <w:t xml:space="preserve"> </w:t>
      </w:r>
      <w:r w:rsidRPr="00B81846">
        <w:t xml:space="preserve">HUD Conflict of Interest regulations at 24 CFR </w:t>
      </w:r>
      <w:r w:rsidRPr="00065EFC">
        <w:t>§</w:t>
      </w:r>
      <w:r w:rsidRPr="00B81846">
        <w:t>570.489(g)</w:t>
      </w:r>
      <w:r>
        <w:rPr>
          <w:lang w:val="en-US"/>
        </w:rPr>
        <w:t>,</w:t>
      </w:r>
      <w:r w:rsidRPr="00B81846">
        <w:t xml:space="preserve"> (h)</w:t>
      </w:r>
      <w:bookmarkEnd w:id="113"/>
      <w:r>
        <w:rPr>
          <w:lang w:val="en-US"/>
        </w:rPr>
        <w:t>.</w:t>
      </w:r>
    </w:p>
    <w:p w14:paraId="188CC976" w14:textId="68D7A4D6" w:rsidR="00D66FAA" w:rsidRDefault="00D66FAA" w:rsidP="009333F8">
      <w:pPr>
        <w:pStyle w:val="ACDBGBODYArial11"/>
        <w:spacing w:line="240" w:lineRule="auto"/>
      </w:pPr>
    </w:p>
    <w:p w14:paraId="33DB94DD" w14:textId="77777777" w:rsidR="00D71DC7" w:rsidRPr="003B0903" w:rsidRDefault="00D71DC7" w:rsidP="009333F8">
      <w:pPr>
        <w:pStyle w:val="ACDBGBODYArial11"/>
        <w:spacing w:line="240" w:lineRule="auto"/>
      </w:pPr>
    </w:p>
    <w:p w14:paraId="43A4E9CF" w14:textId="77777777" w:rsidR="00D66FAA" w:rsidRDefault="00D66FAA" w:rsidP="002B05E9">
      <w:pPr>
        <w:pStyle w:val="Heading1"/>
      </w:pPr>
      <w:bookmarkStart w:id="114" w:name="_Toc123110925"/>
      <w:bookmarkStart w:id="115" w:name="_Toc171786624"/>
      <w:bookmarkStart w:id="116" w:name="_Toc171786722"/>
      <w:r>
        <w:t>Resources</w:t>
      </w:r>
      <w:bookmarkEnd w:id="114"/>
      <w:bookmarkEnd w:id="115"/>
      <w:bookmarkEnd w:id="116"/>
    </w:p>
    <w:p w14:paraId="28AA93A0" w14:textId="77777777" w:rsidR="00D66FAA" w:rsidRDefault="00D66FAA" w:rsidP="00007861"/>
    <w:tbl>
      <w:tblPr>
        <w:tblStyle w:val="TableGrid"/>
        <w:tblW w:w="9926" w:type="dxa"/>
        <w:tblLayout w:type="fixed"/>
        <w:tblLook w:val="04A0" w:firstRow="1" w:lastRow="0" w:firstColumn="1" w:lastColumn="0" w:noHBand="0" w:noVBand="1"/>
      </w:tblPr>
      <w:tblGrid>
        <w:gridCol w:w="1525"/>
        <w:gridCol w:w="4590"/>
        <w:gridCol w:w="3811"/>
      </w:tblGrid>
      <w:tr w:rsidR="00D66FAA" w:rsidRPr="00D71DC7" w14:paraId="47991D9D" w14:textId="77777777" w:rsidTr="00D66FAA">
        <w:tc>
          <w:tcPr>
            <w:tcW w:w="1525" w:type="dxa"/>
          </w:tcPr>
          <w:p w14:paraId="32EE2A68" w14:textId="77777777" w:rsidR="00D66FAA" w:rsidRPr="00D71DC7" w:rsidRDefault="00D66FAA" w:rsidP="009333F8">
            <w:pPr>
              <w:pStyle w:val="ACDBGBODYArial11"/>
              <w:spacing w:line="240" w:lineRule="auto"/>
              <w:rPr>
                <w:sz w:val="20"/>
                <w:szCs w:val="20"/>
              </w:rPr>
            </w:pPr>
            <w:r w:rsidRPr="00D71DC7">
              <w:rPr>
                <w:sz w:val="20"/>
                <w:szCs w:val="20"/>
              </w:rPr>
              <w:t>Resource Number</w:t>
            </w:r>
          </w:p>
        </w:tc>
        <w:tc>
          <w:tcPr>
            <w:tcW w:w="4590" w:type="dxa"/>
          </w:tcPr>
          <w:p w14:paraId="75DDA3FB" w14:textId="77777777" w:rsidR="00D66FAA" w:rsidRPr="00D71DC7" w:rsidRDefault="00D66FAA" w:rsidP="009333F8">
            <w:pPr>
              <w:pStyle w:val="ACDBGBODYArial11"/>
              <w:spacing w:line="240" w:lineRule="auto"/>
              <w:rPr>
                <w:sz w:val="20"/>
                <w:szCs w:val="20"/>
              </w:rPr>
            </w:pPr>
            <w:r w:rsidRPr="00D71DC7">
              <w:rPr>
                <w:sz w:val="20"/>
                <w:szCs w:val="20"/>
              </w:rPr>
              <w:t>Description</w:t>
            </w:r>
          </w:p>
        </w:tc>
        <w:tc>
          <w:tcPr>
            <w:tcW w:w="3811" w:type="dxa"/>
          </w:tcPr>
          <w:p w14:paraId="52E8C9F8" w14:textId="77777777" w:rsidR="00D66FAA" w:rsidRPr="00D71DC7" w:rsidRDefault="00D66FAA" w:rsidP="009333F8">
            <w:pPr>
              <w:pStyle w:val="ACDBGBODYArial11"/>
              <w:spacing w:line="240" w:lineRule="auto"/>
              <w:rPr>
                <w:sz w:val="20"/>
                <w:szCs w:val="20"/>
              </w:rPr>
            </w:pPr>
            <w:r w:rsidRPr="00D71DC7">
              <w:rPr>
                <w:sz w:val="20"/>
                <w:szCs w:val="20"/>
              </w:rPr>
              <w:t>URL</w:t>
            </w:r>
          </w:p>
        </w:tc>
      </w:tr>
      <w:tr w:rsidR="00D66FAA" w:rsidRPr="00D71DC7" w14:paraId="584AE071" w14:textId="77777777" w:rsidTr="00D66FAA">
        <w:tc>
          <w:tcPr>
            <w:tcW w:w="1525" w:type="dxa"/>
          </w:tcPr>
          <w:p w14:paraId="5811E6CD" w14:textId="77777777" w:rsidR="00D66FAA" w:rsidRPr="00D71DC7" w:rsidRDefault="00D66FAA" w:rsidP="009333F8">
            <w:pPr>
              <w:pStyle w:val="ACDBGBODYArial11"/>
              <w:spacing w:line="240" w:lineRule="auto"/>
              <w:rPr>
                <w:sz w:val="20"/>
                <w:szCs w:val="20"/>
              </w:rPr>
            </w:pPr>
          </w:p>
        </w:tc>
        <w:tc>
          <w:tcPr>
            <w:tcW w:w="4590" w:type="dxa"/>
          </w:tcPr>
          <w:p w14:paraId="41D02D59" w14:textId="19BC9D3C" w:rsidR="00D66FAA" w:rsidRPr="00D71DC7" w:rsidRDefault="00D66FAA" w:rsidP="009333F8">
            <w:pPr>
              <w:pStyle w:val="ACDBGBODYArial11"/>
              <w:spacing w:line="240" w:lineRule="auto"/>
              <w:rPr>
                <w:sz w:val="20"/>
                <w:szCs w:val="20"/>
              </w:rPr>
            </w:pPr>
          </w:p>
        </w:tc>
        <w:tc>
          <w:tcPr>
            <w:tcW w:w="3811" w:type="dxa"/>
          </w:tcPr>
          <w:p w14:paraId="49A4F4A9" w14:textId="73E8C6A2" w:rsidR="00D66FAA" w:rsidRPr="00D71DC7" w:rsidRDefault="00D66FAA" w:rsidP="009333F8">
            <w:pPr>
              <w:pStyle w:val="ACDBGBODYArial11"/>
              <w:spacing w:line="240" w:lineRule="auto"/>
              <w:rPr>
                <w:sz w:val="20"/>
                <w:szCs w:val="20"/>
                <w:lang w:val="en-US"/>
              </w:rPr>
            </w:pPr>
          </w:p>
        </w:tc>
      </w:tr>
      <w:tr w:rsidR="00D66FAA" w:rsidRPr="00D71DC7" w14:paraId="55A23E7C" w14:textId="77777777" w:rsidTr="00D66FAA">
        <w:tc>
          <w:tcPr>
            <w:tcW w:w="1525" w:type="dxa"/>
          </w:tcPr>
          <w:p w14:paraId="17E46EB2" w14:textId="23F7CA10" w:rsidR="00D66FAA" w:rsidRPr="00D71DC7" w:rsidRDefault="00D66FAA" w:rsidP="009333F8">
            <w:pPr>
              <w:pStyle w:val="ACDBGBODYArial11"/>
              <w:spacing w:line="240" w:lineRule="auto"/>
              <w:rPr>
                <w:sz w:val="20"/>
                <w:szCs w:val="20"/>
              </w:rPr>
            </w:pPr>
            <w:r w:rsidRPr="00D71DC7">
              <w:rPr>
                <w:sz w:val="20"/>
                <w:szCs w:val="20"/>
              </w:rPr>
              <w:t>Appendix B</w:t>
            </w:r>
          </w:p>
        </w:tc>
        <w:tc>
          <w:tcPr>
            <w:tcW w:w="4590" w:type="dxa"/>
          </w:tcPr>
          <w:p w14:paraId="31775697" w14:textId="750D78CC" w:rsidR="00D66FAA" w:rsidRPr="00D71DC7" w:rsidRDefault="00D66FAA" w:rsidP="009333F8">
            <w:pPr>
              <w:pStyle w:val="ACDBGBODYArial11"/>
              <w:spacing w:line="240" w:lineRule="auto"/>
              <w:rPr>
                <w:sz w:val="20"/>
                <w:szCs w:val="20"/>
              </w:rPr>
            </w:pPr>
            <w:r w:rsidRPr="00D71DC7">
              <w:rPr>
                <w:sz w:val="20"/>
                <w:szCs w:val="20"/>
              </w:rPr>
              <w:t>Required Contract Provisions</w:t>
            </w:r>
          </w:p>
        </w:tc>
        <w:tc>
          <w:tcPr>
            <w:tcW w:w="3811" w:type="dxa"/>
          </w:tcPr>
          <w:p w14:paraId="4A41B3F9" w14:textId="151E4749" w:rsidR="00D66FAA" w:rsidRPr="00D71DC7" w:rsidRDefault="00000000" w:rsidP="009333F8">
            <w:pPr>
              <w:pStyle w:val="ACDBGBODYArial11"/>
              <w:spacing w:line="240" w:lineRule="auto"/>
              <w:rPr>
                <w:sz w:val="20"/>
                <w:szCs w:val="20"/>
                <w:lang w:val="en-US"/>
              </w:rPr>
            </w:pPr>
            <w:hyperlink r:id="rId20" w:history="1">
              <w:r w:rsidR="00D66FAA" w:rsidRPr="00D71DC7">
                <w:rPr>
                  <w:rStyle w:val="Hyperlink"/>
                  <w:sz w:val="20"/>
                  <w:szCs w:val="20"/>
                  <w:lang w:val="en-US"/>
                </w:rPr>
                <w:t>TDA Forms page</w:t>
              </w:r>
            </w:hyperlink>
          </w:p>
        </w:tc>
      </w:tr>
      <w:tr w:rsidR="00D66FAA" w:rsidRPr="00D71DC7" w14:paraId="46AE50E6" w14:textId="77777777" w:rsidTr="00D66FAA">
        <w:tc>
          <w:tcPr>
            <w:tcW w:w="1525" w:type="dxa"/>
          </w:tcPr>
          <w:p w14:paraId="18E0844B" w14:textId="3D4864F1" w:rsidR="00D66FAA" w:rsidRPr="00D71DC7" w:rsidRDefault="00D66FAA" w:rsidP="009333F8">
            <w:pPr>
              <w:pStyle w:val="ACDBGBODYArial11"/>
              <w:spacing w:line="240" w:lineRule="auto"/>
              <w:rPr>
                <w:sz w:val="20"/>
                <w:szCs w:val="20"/>
              </w:rPr>
            </w:pPr>
            <w:r w:rsidRPr="00D71DC7">
              <w:rPr>
                <w:sz w:val="20"/>
                <w:szCs w:val="20"/>
              </w:rPr>
              <w:t>Appendix C</w:t>
            </w:r>
          </w:p>
        </w:tc>
        <w:tc>
          <w:tcPr>
            <w:tcW w:w="4590" w:type="dxa"/>
          </w:tcPr>
          <w:p w14:paraId="783FDE20" w14:textId="4B2449DA" w:rsidR="00D66FAA" w:rsidRPr="00D71DC7" w:rsidRDefault="00D66FAA" w:rsidP="009333F8">
            <w:pPr>
              <w:pStyle w:val="ACDBGBODYArial11"/>
              <w:spacing w:line="240" w:lineRule="auto"/>
              <w:rPr>
                <w:sz w:val="20"/>
                <w:szCs w:val="20"/>
              </w:rPr>
            </w:pPr>
            <w:r w:rsidRPr="00D71DC7">
              <w:rPr>
                <w:sz w:val="20"/>
                <w:szCs w:val="20"/>
              </w:rPr>
              <w:t>Vehicle/Equipment General Conditions</w:t>
            </w:r>
          </w:p>
        </w:tc>
        <w:tc>
          <w:tcPr>
            <w:tcW w:w="3811" w:type="dxa"/>
          </w:tcPr>
          <w:p w14:paraId="45396A42" w14:textId="0903CED2" w:rsidR="00D66FAA" w:rsidRPr="00D71DC7" w:rsidRDefault="00000000" w:rsidP="009333F8">
            <w:pPr>
              <w:pStyle w:val="ACDBGBODYArial11"/>
              <w:spacing w:line="240" w:lineRule="auto"/>
              <w:rPr>
                <w:sz w:val="20"/>
                <w:szCs w:val="20"/>
              </w:rPr>
            </w:pPr>
            <w:hyperlink r:id="rId21" w:history="1">
              <w:r w:rsidR="00D66FAA" w:rsidRPr="00D71DC7">
                <w:rPr>
                  <w:rStyle w:val="Hyperlink"/>
                  <w:sz w:val="20"/>
                  <w:szCs w:val="20"/>
                  <w:lang w:val="en-US"/>
                </w:rPr>
                <w:t>TDA Forms page</w:t>
              </w:r>
            </w:hyperlink>
          </w:p>
        </w:tc>
      </w:tr>
      <w:tr w:rsidR="00D66FAA" w:rsidRPr="00D71DC7" w14:paraId="67472F3A" w14:textId="77777777" w:rsidTr="00D66FAA">
        <w:tc>
          <w:tcPr>
            <w:tcW w:w="1525" w:type="dxa"/>
          </w:tcPr>
          <w:p w14:paraId="602ECB37" w14:textId="36D2F7FB" w:rsidR="00D66FAA" w:rsidRPr="00D71DC7" w:rsidRDefault="00D66FAA" w:rsidP="009333F8">
            <w:pPr>
              <w:pStyle w:val="ACDBGBODYArial11"/>
              <w:spacing w:line="240" w:lineRule="auto"/>
              <w:rPr>
                <w:sz w:val="20"/>
                <w:szCs w:val="20"/>
              </w:rPr>
            </w:pPr>
            <w:r w:rsidRPr="00D71DC7">
              <w:rPr>
                <w:sz w:val="20"/>
                <w:szCs w:val="20"/>
              </w:rPr>
              <w:t>Appendix D</w:t>
            </w:r>
          </w:p>
        </w:tc>
        <w:tc>
          <w:tcPr>
            <w:tcW w:w="4590" w:type="dxa"/>
          </w:tcPr>
          <w:p w14:paraId="7E36E919" w14:textId="249C3A60" w:rsidR="00D66FAA" w:rsidRPr="00D71DC7" w:rsidRDefault="00D66FAA" w:rsidP="009333F8">
            <w:pPr>
              <w:pStyle w:val="ACDBGBODYArial11"/>
              <w:spacing w:line="240" w:lineRule="auto"/>
              <w:rPr>
                <w:sz w:val="20"/>
                <w:szCs w:val="20"/>
              </w:rPr>
            </w:pPr>
            <w:r w:rsidRPr="00D71DC7">
              <w:rPr>
                <w:sz w:val="20"/>
                <w:szCs w:val="20"/>
              </w:rPr>
              <w:t>Sample Administration Services RFP Packet</w:t>
            </w:r>
          </w:p>
        </w:tc>
        <w:tc>
          <w:tcPr>
            <w:tcW w:w="3811" w:type="dxa"/>
          </w:tcPr>
          <w:p w14:paraId="1B996868" w14:textId="3082106F" w:rsidR="00D66FAA" w:rsidRPr="00D71DC7" w:rsidRDefault="00000000" w:rsidP="009333F8">
            <w:pPr>
              <w:pStyle w:val="ACDBGBODYArial11"/>
              <w:spacing w:line="240" w:lineRule="auto"/>
              <w:rPr>
                <w:sz w:val="20"/>
                <w:szCs w:val="20"/>
              </w:rPr>
            </w:pPr>
            <w:hyperlink r:id="rId22" w:history="1">
              <w:r w:rsidR="00D66FAA" w:rsidRPr="00D71DC7">
                <w:rPr>
                  <w:rStyle w:val="Hyperlink"/>
                  <w:sz w:val="20"/>
                  <w:szCs w:val="20"/>
                  <w:lang w:val="en-US"/>
                </w:rPr>
                <w:t>TDA Forms page</w:t>
              </w:r>
            </w:hyperlink>
          </w:p>
        </w:tc>
      </w:tr>
      <w:tr w:rsidR="00D66FAA" w:rsidRPr="00D71DC7" w14:paraId="19339111" w14:textId="77777777" w:rsidTr="00D66FAA">
        <w:tc>
          <w:tcPr>
            <w:tcW w:w="1525" w:type="dxa"/>
          </w:tcPr>
          <w:p w14:paraId="5E0082BA" w14:textId="3D719366" w:rsidR="00D66FAA" w:rsidRPr="00D71DC7" w:rsidRDefault="00D66FAA" w:rsidP="009333F8">
            <w:pPr>
              <w:pStyle w:val="ACDBGBODYArial11"/>
              <w:spacing w:line="240" w:lineRule="auto"/>
              <w:rPr>
                <w:sz w:val="20"/>
                <w:szCs w:val="20"/>
              </w:rPr>
            </w:pPr>
            <w:r w:rsidRPr="00D71DC7">
              <w:rPr>
                <w:sz w:val="20"/>
                <w:szCs w:val="20"/>
              </w:rPr>
              <w:t>Appendix E</w:t>
            </w:r>
          </w:p>
        </w:tc>
        <w:tc>
          <w:tcPr>
            <w:tcW w:w="4590" w:type="dxa"/>
          </w:tcPr>
          <w:p w14:paraId="54A3F236" w14:textId="7282E715" w:rsidR="00D66FAA" w:rsidRPr="00D71DC7" w:rsidRDefault="00D66FAA" w:rsidP="009333F8">
            <w:pPr>
              <w:pStyle w:val="ACDBGBODYArial11"/>
              <w:spacing w:line="240" w:lineRule="auto"/>
              <w:rPr>
                <w:sz w:val="20"/>
                <w:szCs w:val="20"/>
              </w:rPr>
            </w:pPr>
            <w:r w:rsidRPr="00D71DC7">
              <w:rPr>
                <w:sz w:val="20"/>
                <w:szCs w:val="20"/>
              </w:rPr>
              <w:t>Sample Engineering Services RFQ Packet</w:t>
            </w:r>
          </w:p>
        </w:tc>
        <w:tc>
          <w:tcPr>
            <w:tcW w:w="3811" w:type="dxa"/>
          </w:tcPr>
          <w:p w14:paraId="308FD6E3" w14:textId="069988A8" w:rsidR="00D66FAA" w:rsidRPr="00D71DC7" w:rsidRDefault="00000000" w:rsidP="009333F8">
            <w:pPr>
              <w:pStyle w:val="ACDBGBODYArial11"/>
              <w:spacing w:line="240" w:lineRule="auto"/>
              <w:rPr>
                <w:sz w:val="20"/>
                <w:szCs w:val="20"/>
              </w:rPr>
            </w:pPr>
            <w:hyperlink r:id="rId23" w:history="1">
              <w:r w:rsidR="00D66FAA" w:rsidRPr="00D71DC7">
                <w:rPr>
                  <w:rStyle w:val="Hyperlink"/>
                  <w:sz w:val="20"/>
                  <w:szCs w:val="20"/>
                  <w:lang w:val="en-US"/>
                </w:rPr>
                <w:t>TDA Forms page</w:t>
              </w:r>
            </w:hyperlink>
          </w:p>
        </w:tc>
      </w:tr>
      <w:tr w:rsidR="00D66FAA" w:rsidRPr="00D71DC7" w14:paraId="2119A555" w14:textId="77777777" w:rsidTr="00D66FAA">
        <w:tc>
          <w:tcPr>
            <w:tcW w:w="1525" w:type="dxa"/>
          </w:tcPr>
          <w:p w14:paraId="6D1091B4" w14:textId="08A0FB19" w:rsidR="00D66FAA" w:rsidRPr="00D71DC7" w:rsidRDefault="00D66FAA" w:rsidP="009333F8">
            <w:pPr>
              <w:pStyle w:val="ACDBGBODYArial11"/>
              <w:spacing w:line="240" w:lineRule="auto"/>
              <w:rPr>
                <w:sz w:val="20"/>
                <w:szCs w:val="20"/>
              </w:rPr>
            </w:pPr>
            <w:r w:rsidRPr="00D71DC7">
              <w:rPr>
                <w:sz w:val="20"/>
                <w:szCs w:val="20"/>
              </w:rPr>
              <w:t>Appendix F</w:t>
            </w:r>
          </w:p>
        </w:tc>
        <w:tc>
          <w:tcPr>
            <w:tcW w:w="4590" w:type="dxa"/>
          </w:tcPr>
          <w:p w14:paraId="2FB29968" w14:textId="74C6301A" w:rsidR="00D66FAA" w:rsidRPr="00D71DC7" w:rsidRDefault="00D66FAA" w:rsidP="009333F8">
            <w:pPr>
              <w:pStyle w:val="ACDBGBODYArial11"/>
              <w:spacing w:line="240" w:lineRule="auto"/>
              <w:rPr>
                <w:sz w:val="20"/>
                <w:szCs w:val="20"/>
              </w:rPr>
            </w:pPr>
            <w:r w:rsidRPr="00D71DC7">
              <w:rPr>
                <w:sz w:val="20"/>
                <w:szCs w:val="20"/>
              </w:rPr>
              <w:t>Sample Construction Bid Packet</w:t>
            </w:r>
          </w:p>
        </w:tc>
        <w:tc>
          <w:tcPr>
            <w:tcW w:w="3811" w:type="dxa"/>
          </w:tcPr>
          <w:p w14:paraId="71B3FDB9" w14:textId="2F128EE5" w:rsidR="00D66FAA" w:rsidRPr="00D71DC7" w:rsidRDefault="00000000" w:rsidP="009333F8">
            <w:pPr>
              <w:pStyle w:val="ACDBGBODYArial11"/>
              <w:spacing w:line="240" w:lineRule="auto"/>
              <w:rPr>
                <w:sz w:val="20"/>
                <w:szCs w:val="20"/>
              </w:rPr>
            </w:pPr>
            <w:hyperlink r:id="rId24" w:history="1">
              <w:r w:rsidR="00D66FAA" w:rsidRPr="00D71DC7">
                <w:rPr>
                  <w:rStyle w:val="Hyperlink"/>
                  <w:sz w:val="20"/>
                  <w:szCs w:val="20"/>
                  <w:lang w:val="en-US"/>
                </w:rPr>
                <w:t>TDA Forms page</w:t>
              </w:r>
            </w:hyperlink>
          </w:p>
        </w:tc>
      </w:tr>
      <w:tr w:rsidR="00D66FAA" w:rsidRPr="00D71DC7" w14:paraId="5E6CE8A9" w14:textId="77777777" w:rsidTr="00D66FAA">
        <w:tc>
          <w:tcPr>
            <w:tcW w:w="1525" w:type="dxa"/>
          </w:tcPr>
          <w:p w14:paraId="07C2053F" w14:textId="710E9E3C" w:rsidR="00D66FAA" w:rsidRPr="00D71DC7" w:rsidRDefault="00D66FAA" w:rsidP="009333F8">
            <w:pPr>
              <w:pStyle w:val="ACDBGBODYArial11"/>
              <w:spacing w:line="240" w:lineRule="auto"/>
              <w:rPr>
                <w:sz w:val="20"/>
                <w:szCs w:val="20"/>
              </w:rPr>
            </w:pPr>
            <w:r w:rsidRPr="00D71DC7">
              <w:rPr>
                <w:sz w:val="20"/>
                <w:szCs w:val="20"/>
              </w:rPr>
              <w:t>Appendix G</w:t>
            </w:r>
          </w:p>
        </w:tc>
        <w:tc>
          <w:tcPr>
            <w:tcW w:w="4590" w:type="dxa"/>
          </w:tcPr>
          <w:p w14:paraId="394FFE6E" w14:textId="7582E7EE" w:rsidR="00D66FAA" w:rsidRPr="00D71DC7" w:rsidRDefault="00D66FAA" w:rsidP="009333F8">
            <w:pPr>
              <w:pStyle w:val="ACDBGBODYArial11"/>
              <w:spacing w:line="240" w:lineRule="auto"/>
              <w:rPr>
                <w:sz w:val="20"/>
                <w:szCs w:val="20"/>
              </w:rPr>
            </w:pPr>
            <w:r w:rsidRPr="00D71DC7">
              <w:rPr>
                <w:sz w:val="20"/>
                <w:szCs w:val="20"/>
              </w:rPr>
              <w:t>Sample Material Bid</w:t>
            </w:r>
          </w:p>
        </w:tc>
        <w:tc>
          <w:tcPr>
            <w:tcW w:w="3811" w:type="dxa"/>
          </w:tcPr>
          <w:p w14:paraId="4CE092CF" w14:textId="5934FAB5" w:rsidR="00D66FAA" w:rsidRPr="00D71DC7" w:rsidRDefault="00000000" w:rsidP="009333F8">
            <w:pPr>
              <w:pStyle w:val="ACDBGBODYArial11"/>
              <w:spacing w:line="240" w:lineRule="auto"/>
              <w:rPr>
                <w:sz w:val="20"/>
                <w:szCs w:val="20"/>
              </w:rPr>
            </w:pPr>
            <w:hyperlink r:id="rId25" w:history="1">
              <w:r w:rsidR="00D66FAA" w:rsidRPr="00D71DC7">
                <w:rPr>
                  <w:rStyle w:val="Hyperlink"/>
                  <w:sz w:val="20"/>
                  <w:szCs w:val="20"/>
                  <w:lang w:val="en-US"/>
                </w:rPr>
                <w:t>TDA Forms page</w:t>
              </w:r>
            </w:hyperlink>
          </w:p>
        </w:tc>
      </w:tr>
    </w:tbl>
    <w:p w14:paraId="763181A2" w14:textId="77777777" w:rsidR="009A13A0" w:rsidRPr="00D71DC7" w:rsidRDefault="009A13A0" w:rsidP="009A13A0">
      <w:pPr>
        <w:rPr>
          <w:sz w:val="20"/>
          <w:szCs w:val="20"/>
        </w:rPr>
      </w:pPr>
      <w:r w:rsidRPr="00D71DC7">
        <w:rPr>
          <w:sz w:val="20"/>
          <w:szCs w:val="20"/>
        </w:rPr>
        <w:t xml:space="preserve">*Note: these items will be updated as needed. </w:t>
      </w:r>
    </w:p>
    <w:p w14:paraId="7F2A7449" w14:textId="77777777" w:rsidR="00006C59" w:rsidRDefault="00006C59" w:rsidP="009333F8"/>
    <w:sectPr w:rsidR="00006C59" w:rsidSect="000C6B4E">
      <w:headerReference w:type="even" r:id="rId26"/>
      <w:headerReference w:type="default" r:id="rId27"/>
      <w:footerReference w:type="even" r:id="rId28"/>
      <w:footerReference w:type="default" r:id="rId29"/>
      <w:pgSz w:w="12240" w:h="15840"/>
      <w:pgMar w:top="1152" w:right="1152" w:bottom="1152"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B473D" w14:textId="77777777" w:rsidR="009C03F3" w:rsidRDefault="009C03F3">
      <w:r>
        <w:separator/>
      </w:r>
    </w:p>
  </w:endnote>
  <w:endnote w:type="continuationSeparator" w:id="0">
    <w:p w14:paraId="073551F7" w14:textId="77777777" w:rsidR="009C03F3" w:rsidRDefault="009C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5FDD6" w14:textId="77777777" w:rsidR="00415E7E" w:rsidRDefault="000C6B4E" w:rsidP="00367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7A0BC" w14:textId="77777777" w:rsidR="00415E7E" w:rsidRDefault="00415E7E" w:rsidP="00367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13A86" w14:textId="77777777" w:rsidR="00415E7E" w:rsidRDefault="00415E7E" w:rsidP="00367CB1">
    <w:pPr>
      <w:pStyle w:val="Footer"/>
      <w:pBdr>
        <w:top w:val="dotted" w:sz="4" w:space="1" w:color="auto"/>
      </w:pBdr>
      <w:tabs>
        <w:tab w:val="clear" w:pos="8640"/>
        <w:tab w:val="left" w:pos="4320"/>
        <w:tab w:val="right" w:pos="9180"/>
      </w:tabs>
      <w:rPr>
        <w:rFonts w:cs="Arial"/>
        <w:sz w:val="16"/>
        <w:szCs w:val="16"/>
        <w:lang w:val="en-US" w:eastAsia="en-US"/>
      </w:rPr>
    </w:pPr>
  </w:p>
  <w:p w14:paraId="6B4EFE32" w14:textId="332EFCD8" w:rsidR="00415E7E" w:rsidRPr="00E44256" w:rsidRDefault="000C6B4E" w:rsidP="00367CB1">
    <w:pPr>
      <w:pStyle w:val="Footer"/>
      <w:pBdr>
        <w:top w:val="dotted" w:sz="4" w:space="1" w:color="auto"/>
      </w:pBdr>
      <w:tabs>
        <w:tab w:val="clear" w:pos="8640"/>
        <w:tab w:val="left" w:pos="4320"/>
        <w:tab w:val="right" w:pos="9180"/>
      </w:tabs>
      <w:rPr>
        <w:rFonts w:cs="Arial"/>
        <w:sz w:val="16"/>
        <w:szCs w:val="16"/>
        <w:lang w:val="en-US" w:eastAsia="en-US"/>
      </w:rPr>
    </w:pPr>
    <w:r>
      <w:rPr>
        <w:rFonts w:cs="Arial"/>
        <w:sz w:val="16"/>
        <w:szCs w:val="16"/>
        <w:lang w:val="en-US" w:eastAsia="en-US"/>
      </w:rPr>
      <w:t>202</w:t>
    </w:r>
    <w:r w:rsidR="00430137">
      <w:rPr>
        <w:rFonts w:cs="Arial"/>
        <w:sz w:val="16"/>
        <w:szCs w:val="16"/>
        <w:lang w:val="en-US" w:eastAsia="en-US"/>
      </w:rPr>
      <w:t>4</w:t>
    </w:r>
    <w:r w:rsidRPr="00390852">
      <w:rPr>
        <w:rFonts w:cs="Arial"/>
        <w:sz w:val="16"/>
        <w:szCs w:val="16"/>
        <w:lang w:val="en-US" w:eastAsia="en-US"/>
      </w:rPr>
      <w:t xml:space="preserve"> TxCDBG</w:t>
    </w:r>
    <w:r w:rsidRPr="00DD5FF4">
      <w:rPr>
        <w:rFonts w:cs="Arial"/>
        <w:sz w:val="16"/>
        <w:szCs w:val="16"/>
        <w:lang w:val="en-US" w:eastAsia="en-US"/>
      </w:rPr>
      <w:t xml:space="preserve"> Project Implementation Manual</w:t>
    </w:r>
    <w:r>
      <w:rPr>
        <w:rFonts w:cs="Arial"/>
        <w:sz w:val="16"/>
        <w:szCs w:val="16"/>
        <w:lang w:val="en-US" w:eastAsia="en-US"/>
      </w:rPr>
      <w:t xml:space="preserve">         </w:t>
    </w:r>
    <w:r w:rsidRPr="00DD5FF4">
      <w:rPr>
        <w:rFonts w:cs="Arial"/>
        <w:sz w:val="16"/>
        <w:szCs w:val="16"/>
        <w:lang w:val="en-US" w:eastAsia="en-US"/>
      </w:rPr>
      <w:t xml:space="preserve">SECTION A - Chapter 5   Procurement </w:t>
    </w:r>
    <w:r w:rsidRPr="00390852">
      <w:rPr>
        <w:rFonts w:cs="Arial"/>
        <w:sz w:val="16"/>
        <w:szCs w:val="16"/>
        <w:lang w:val="en-US" w:eastAsia="en-US"/>
      </w:rPr>
      <w:t>Procedures</w:t>
    </w:r>
    <w:r w:rsidR="00D71DC7">
      <w:rPr>
        <w:rFonts w:cs="Arial"/>
        <w:sz w:val="16"/>
        <w:szCs w:val="16"/>
        <w:lang w:val="en-US" w:eastAsia="en-US"/>
      </w:rPr>
      <w:tab/>
    </w:r>
    <w:r w:rsidR="004C1AE7">
      <w:rPr>
        <w:rFonts w:cs="Arial"/>
        <w:color w:val="000000"/>
        <w:sz w:val="16"/>
        <w:szCs w:val="16"/>
        <w:lang w:val="en-US" w:eastAsia="en-US"/>
      </w:rPr>
      <w:t>9</w:t>
    </w:r>
    <w:r w:rsidR="00E43004">
      <w:rPr>
        <w:rFonts w:cs="Arial"/>
        <w:color w:val="000000"/>
        <w:sz w:val="16"/>
        <w:szCs w:val="16"/>
        <w:lang w:val="en-US" w:eastAsia="en-US"/>
      </w:rPr>
      <w:t>.</w:t>
    </w:r>
    <w:r w:rsidR="00FE6E46">
      <w:rPr>
        <w:rFonts w:cs="Arial"/>
        <w:color w:val="000000"/>
        <w:sz w:val="16"/>
        <w:szCs w:val="16"/>
        <w:lang w:val="en-US" w:eastAsia="en-US"/>
      </w:rPr>
      <w:t>1</w:t>
    </w:r>
    <w:r w:rsidR="00E43004">
      <w:rPr>
        <w:rFonts w:cs="Arial"/>
        <w:color w:val="000000"/>
        <w:sz w:val="16"/>
        <w:szCs w:val="16"/>
        <w:lang w:val="en-US" w:eastAsia="en-US"/>
      </w:rPr>
      <w:t>.202</w:t>
    </w:r>
    <w:r w:rsidR="00F604D5">
      <w:rPr>
        <w:rFonts w:cs="Arial"/>
        <w:color w:val="000000"/>
        <w:sz w:val="16"/>
        <w:szCs w:val="16"/>
        <w:lang w:val="en-US" w:eastAsia="en-US"/>
      </w:rPr>
      <w:t>4</w:t>
    </w:r>
    <w:r w:rsidRPr="00DD5FF4">
      <w:rPr>
        <w:rFonts w:cs="Arial"/>
        <w:sz w:val="16"/>
        <w:szCs w:val="16"/>
        <w:lang w:val="en-US" w:eastAsia="en-US"/>
      </w:rPr>
      <w:tab/>
      <w:t xml:space="preserve"> </w:t>
    </w:r>
    <w:r w:rsidRPr="00DD5FF4">
      <w:rPr>
        <w:rFonts w:cs="Arial"/>
        <w:sz w:val="16"/>
        <w:szCs w:val="16"/>
        <w:lang w:val="en-US" w:eastAsia="en-US"/>
      </w:rPr>
      <w:fldChar w:fldCharType="begin"/>
    </w:r>
    <w:r w:rsidRPr="00DD5FF4">
      <w:rPr>
        <w:rFonts w:cs="Arial"/>
        <w:sz w:val="16"/>
        <w:szCs w:val="16"/>
        <w:lang w:val="en-US" w:eastAsia="en-US"/>
      </w:rPr>
      <w:instrText xml:space="preserve"> PAGE   \* MERGEFORMAT </w:instrText>
    </w:r>
    <w:r w:rsidRPr="00DD5FF4">
      <w:rPr>
        <w:rFonts w:cs="Arial"/>
        <w:sz w:val="16"/>
        <w:szCs w:val="16"/>
        <w:lang w:val="en-US" w:eastAsia="en-US"/>
      </w:rPr>
      <w:fldChar w:fldCharType="separate"/>
    </w:r>
    <w:r>
      <w:rPr>
        <w:rFonts w:cs="Arial"/>
        <w:noProof/>
        <w:sz w:val="16"/>
        <w:szCs w:val="16"/>
        <w:lang w:val="en-US" w:eastAsia="en-US"/>
      </w:rPr>
      <w:t>1</w:t>
    </w:r>
    <w:r w:rsidRPr="00DD5FF4">
      <w:rPr>
        <w:rFonts w:cs="Arial"/>
        <w:sz w:val="16"/>
        <w:szCs w:val="16"/>
        <w:lang w:val="en-US" w:eastAsia="en-US"/>
      </w:rPr>
      <w:fldChar w:fldCharType="end"/>
    </w:r>
  </w:p>
  <w:p w14:paraId="507AA3FF" w14:textId="77777777" w:rsidR="00415E7E" w:rsidRPr="00DD5FF4" w:rsidRDefault="00415E7E" w:rsidP="00367CB1">
    <w:pPr>
      <w:pStyle w:val="Footer"/>
      <w:pBdr>
        <w:top w:val="dotted" w:sz="4" w:space="1" w:color="auto"/>
      </w:pBdr>
      <w:tabs>
        <w:tab w:val="clear" w:pos="8640"/>
        <w:tab w:val="left" w:pos="4320"/>
        <w:tab w:val="right" w:pos="9180"/>
      </w:tabs>
      <w:rPr>
        <w:rFonts w:cs="Arial"/>
        <w:sz w:val="16"/>
        <w:szCs w:val="16"/>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BF068" w14:textId="77777777" w:rsidR="009C03F3" w:rsidRDefault="009C03F3">
      <w:r>
        <w:separator/>
      </w:r>
    </w:p>
  </w:footnote>
  <w:footnote w:type="continuationSeparator" w:id="0">
    <w:p w14:paraId="70BCEF28" w14:textId="77777777" w:rsidR="009C03F3" w:rsidRDefault="009C03F3">
      <w:r>
        <w:continuationSeparator/>
      </w:r>
    </w:p>
  </w:footnote>
  <w:footnote w:id="1">
    <w:p w14:paraId="284B8969" w14:textId="2EE08D64" w:rsidR="00DE6E8E" w:rsidRPr="00FE6E46" w:rsidRDefault="00DE6E8E">
      <w:pPr>
        <w:pStyle w:val="FootnoteText"/>
        <w:rPr>
          <w:sz w:val="18"/>
          <w:szCs w:val="18"/>
        </w:rPr>
      </w:pPr>
      <w:r w:rsidRPr="00FE6E46">
        <w:rPr>
          <w:rStyle w:val="FootnoteReference"/>
          <w:sz w:val="18"/>
          <w:szCs w:val="18"/>
        </w:rPr>
        <w:footnoteRef/>
      </w:r>
      <w:r w:rsidRPr="00FE6E46">
        <w:rPr>
          <w:sz w:val="18"/>
          <w:szCs w:val="18"/>
        </w:rPr>
        <w:t xml:space="preserve"> 2 CFR §200.319(b</w:t>
      </w:r>
      <w:proofErr w:type="gramStart"/>
      <w:r w:rsidRPr="00FE6E46">
        <w:rPr>
          <w:sz w:val="18"/>
          <w:szCs w:val="18"/>
        </w:rPr>
        <w:t>)(</w:t>
      </w:r>
      <w:proofErr w:type="gramEnd"/>
      <w:r w:rsidRPr="00FE6E46">
        <w:rPr>
          <w:sz w:val="18"/>
          <w:szCs w:val="18"/>
        </w:rPr>
        <w:t>1-7)</w:t>
      </w:r>
    </w:p>
  </w:footnote>
  <w:footnote w:id="2">
    <w:p w14:paraId="7D4EDF15" w14:textId="2F1E9D3D" w:rsidR="009768FD" w:rsidRDefault="009768FD">
      <w:pPr>
        <w:pStyle w:val="FootnoteText"/>
      </w:pPr>
      <w:r w:rsidRPr="00FE6E46">
        <w:rPr>
          <w:rStyle w:val="FootnoteReference"/>
          <w:sz w:val="18"/>
          <w:szCs w:val="18"/>
        </w:rPr>
        <w:footnoteRef/>
      </w:r>
      <w:r w:rsidRPr="00FE6E46">
        <w:rPr>
          <w:sz w:val="18"/>
          <w:szCs w:val="18"/>
        </w:rPr>
        <w:t xml:space="preserve"> 2 CFR §200.320</w:t>
      </w:r>
    </w:p>
  </w:footnote>
  <w:footnote w:id="3">
    <w:p w14:paraId="12A72C36" w14:textId="15014D26" w:rsidR="009768FD" w:rsidRPr="00FE6E46" w:rsidRDefault="009768FD">
      <w:pPr>
        <w:pStyle w:val="FootnoteText"/>
        <w:rPr>
          <w:sz w:val="18"/>
          <w:szCs w:val="18"/>
        </w:rPr>
      </w:pPr>
      <w:r w:rsidRPr="00FE6E46">
        <w:rPr>
          <w:rStyle w:val="FootnoteReference"/>
          <w:sz w:val="18"/>
          <w:szCs w:val="18"/>
        </w:rPr>
        <w:footnoteRef/>
      </w:r>
      <w:r w:rsidRPr="00FE6E46">
        <w:rPr>
          <w:sz w:val="18"/>
          <w:szCs w:val="18"/>
        </w:rPr>
        <w:t xml:space="preserve"> 2 CFR §200.319(d)</w:t>
      </w:r>
    </w:p>
  </w:footnote>
  <w:footnote w:id="4">
    <w:p w14:paraId="568AE72A" w14:textId="203627DA" w:rsidR="00F54DE1" w:rsidRDefault="00F54DE1">
      <w:pPr>
        <w:pStyle w:val="FootnoteText"/>
      </w:pPr>
      <w:r w:rsidRPr="00FE6E46">
        <w:rPr>
          <w:rStyle w:val="FootnoteReference"/>
          <w:sz w:val="18"/>
          <w:szCs w:val="18"/>
        </w:rPr>
        <w:footnoteRef/>
      </w:r>
      <w:r w:rsidRPr="00FE6E46">
        <w:rPr>
          <w:sz w:val="18"/>
          <w:szCs w:val="18"/>
        </w:rPr>
        <w:t xml:space="preserve"> 2 CFR §200.320(b)(2)(iv) and Texas Government Code</w:t>
      </w:r>
      <w:r w:rsidR="00F8604A">
        <w:rPr>
          <w:sz w:val="18"/>
          <w:szCs w:val="18"/>
        </w:rPr>
        <w:t>,</w:t>
      </w:r>
      <w:r w:rsidRPr="00FE6E46">
        <w:rPr>
          <w:sz w:val="18"/>
          <w:szCs w:val="18"/>
        </w:rPr>
        <w:t xml:space="preserve"> §2254.004</w:t>
      </w:r>
    </w:p>
  </w:footnote>
  <w:footnote w:id="5">
    <w:p w14:paraId="759671BD" w14:textId="100E873F" w:rsidR="00F54DE1" w:rsidRPr="00FE6E46" w:rsidRDefault="00F54DE1">
      <w:pPr>
        <w:pStyle w:val="FootnoteText"/>
        <w:rPr>
          <w:sz w:val="18"/>
          <w:szCs w:val="18"/>
        </w:rPr>
      </w:pPr>
      <w:r w:rsidRPr="00FE6E46">
        <w:rPr>
          <w:rStyle w:val="FootnoteReference"/>
          <w:sz w:val="18"/>
          <w:szCs w:val="18"/>
        </w:rPr>
        <w:footnoteRef/>
      </w:r>
      <w:r w:rsidRPr="00FE6E46">
        <w:rPr>
          <w:sz w:val="18"/>
          <w:szCs w:val="18"/>
        </w:rPr>
        <w:t xml:space="preserve"> Texas Government Code</w:t>
      </w:r>
      <w:r w:rsidR="00F8604A">
        <w:rPr>
          <w:sz w:val="18"/>
          <w:szCs w:val="18"/>
        </w:rPr>
        <w:t>,</w:t>
      </w:r>
      <w:r w:rsidRPr="00FE6E46">
        <w:rPr>
          <w:sz w:val="18"/>
          <w:szCs w:val="18"/>
        </w:rPr>
        <w:t xml:space="preserve"> Chapter 791</w:t>
      </w:r>
    </w:p>
  </w:footnote>
  <w:footnote w:id="6">
    <w:p w14:paraId="64C4AA4D" w14:textId="33F79DEC" w:rsidR="00F54DE1" w:rsidRPr="00FE6E46" w:rsidRDefault="00F54DE1">
      <w:pPr>
        <w:pStyle w:val="FootnoteText"/>
        <w:rPr>
          <w:sz w:val="18"/>
          <w:szCs w:val="18"/>
        </w:rPr>
      </w:pPr>
      <w:r w:rsidRPr="00FE6E46">
        <w:rPr>
          <w:rStyle w:val="FootnoteReference"/>
          <w:sz w:val="18"/>
          <w:szCs w:val="18"/>
        </w:rPr>
        <w:footnoteRef/>
      </w:r>
      <w:r w:rsidRPr="00FE6E46">
        <w:rPr>
          <w:sz w:val="18"/>
          <w:szCs w:val="18"/>
        </w:rPr>
        <w:t xml:space="preserve"> Texas Occupations Code</w:t>
      </w:r>
      <w:r w:rsidR="00F8604A">
        <w:rPr>
          <w:sz w:val="18"/>
          <w:szCs w:val="18"/>
        </w:rPr>
        <w:t>,</w:t>
      </w:r>
      <w:r w:rsidRPr="00FE6E46">
        <w:rPr>
          <w:sz w:val="18"/>
          <w:szCs w:val="18"/>
        </w:rPr>
        <w:t xml:space="preserve"> §1001.053</w:t>
      </w:r>
    </w:p>
  </w:footnote>
  <w:footnote w:id="7">
    <w:p w14:paraId="0EF85E7C" w14:textId="0439FBF3" w:rsidR="00F54DE1" w:rsidRPr="00FE6E46" w:rsidRDefault="00F54DE1">
      <w:pPr>
        <w:pStyle w:val="FootnoteText"/>
        <w:rPr>
          <w:sz w:val="18"/>
          <w:szCs w:val="18"/>
        </w:rPr>
      </w:pPr>
      <w:r w:rsidRPr="00FE6E46">
        <w:rPr>
          <w:rStyle w:val="FootnoteReference"/>
          <w:sz w:val="18"/>
          <w:szCs w:val="18"/>
        </w:rPr>
        <w:footnoteRef/>
      </w:r>
      <w:r w:rsidRPr="00FE6E46">
        <w:rPr>
          <w:sz w:val="18"/>
          <w:szCs w:val="18"/>
        </w:rPr>
        <w:t xml:space="preserve"> Texas Government Code</w:t>
      </w:r>
      <w:r w:rsidR="00F8604A">
        <w:rPr>
          <w:sz w:val="18"/>
          <w:szCs w:val="18"/>
        </w:rPr>
        <w:t>,</w:t>
      </w:r>
      <w:r w:rsidRPr="00FE6E46">
        <w:rPr>
          <w:sz w:val="18"/>
          <w:szCs w:val="18"/>
        </w:rPr>
        <w:t xml:space="preserve"> Chapter 2254</w:t>
      </w:r>
    </w:p>
  </w:footnote>
  <w:footnote w:id="8">
    <w:p w14:paraId="3EC8A62A" w14:textId="4EA9DD52" w:rsidR="00F54DE1" w:rsidRDefault="00F54DE1">
      <w:pPr>
        <w:pStyle w:val="FootnoteText"/>
      </w:pPr>
      <w:r w:rsidRPr="00FE6E46">
        <w:rPr>
          <w:rStyle w:val="FootnoteReference"/>
          <w:sz w:val="18"/>
          <w:szCs w:val="18"/>
        </w:rPr>
        <w:footnoteRef/>
      </w:r>
      <w:r w:rsidRPr="00FE6E46">
        <w:rPr>
          <w:sz w:val="18"/>
          <w:szCs w:val="18"/>
        </w:rPr>
        <w:t xml:space="preserve"> </w:t>
      </w:r>
      <w:r w:rsidR="00FE6E46" w:rsidRPr="00FE6E46">
        <w:rPr>
          <w:sz w:val="18"/>
          <w:szCs w:val="18"/>
        </w:rPr>
        <w:t>4 TAC</w:t>
      </w:r>
      <w:r w:rsidRPr="00FE6E46">
        <w:rPr>
          <w:sz w:val="18"/>
          <w:szCs w:val="18"/>
        </w:rPr>
        <w:t xml:space="preserve"> §30.80</w:t>
      </w:r>
    </w:p>
  </w:footnote>
  <w:footnote w:id="9">
    <w:p w14:paraId="19886327" w14:textId="056AB512" w:rsidR="00635FBF" w:rsidRDefault="00635FBF">
      <w:pPr>
        <w:pStyle w:val="FootnoteText"/>
      </w:pPr>
      <w:r>
        <w:rPr>
          <w:rStyle w:val="FootnoteReference"/>
        </w:rPr>
        <w:footnoteRef/>
      </w:r>
      <w:r>
        <w:t xml:space="preserve"> </w:t>
      </w:r>
      <w:r w:rsidRPr="00425E3C">
        <w:rPr>
          <w:sz w:val="18"/>
          <w:szCs w:val="18"/>
        </w:rPr>
        <w:t>4 TAC §30.13</w:t>
      </w:r>
    </w:p>
  </w:footnote>
  <w:footnote w:id="10">
    <w:p w14:paraId="56B91A51" w14:textId="37BF2240" w:rsidR="004166B2" w:rsidRPr="00693499" w:rsidRDefault="004166B2">
      <w:pPr>
        <w:pStyle w:val="FootnoteText"/>
        <w:rPr>
          <w:sz w:val="18"/>
          <w:szCs w:val="18"/>
        </w:rPr>
      </w:pPr>
      <w:r w:rsidRPr="00693499">
        <w:rPr>
          <w:rStyle w:val="FootnoteReference"/>
          <w:sz w:val="18"/>
          <w:szCs w:val="18"/>
        </w:rPr>
        <w:footnoteRef/>
      </w:r>
      <w:r w:rsidRPr="00693499">
        <w:rPr>
          <w:sz w:val="18"/>
          <w:szCs w:val="18"/>
        </w:rPr>
        <w:t xml:space="preserve"> Texas Government Code</w:t>
      </w:r>
      <w:r w:rsidR="00C00D89">
        <w:rPr>
          <w:sz w:val="18"/>
          <w:szCs w:val="18"/>
        </w:rPr>
        <w:t>,</w:t>
      </w:r>
      <w:r w:rsidRPr="00693499">
        <w:rPr>
          <w:sz w:val="18"/>
          <w:szCs w:val="18"/>
        </w:rPr>
        <w:t xml:space="preserve"> Chapter 791</w:t>
      </w:r>
    </w:p>
  </w:footnote>
  <w:footnote w:id="11">
    <w:p w14:paraId="7D088A02" w14:textId="7BA4B413" w:rsidR="004166B2" w:rsidRDefault="004166B2">
      <w:pPr>
        <w:pStyle w:val="FootnoteText"/>
      </w:pPr>
      <w:r w:rsidRPr="00693499">
        <w:rPr>
          <w:rStyle w:val="FootnoteReference"/>
          <w:sz w:val="18"/>
          <w:szCs w:val="18"/>
        </w:rPr>
        <w:footnoteRef/>
      </w:r>
      <w:r w:rsidRPr="00693499">
        <w:rPr>
          <w:sz w:val="18"/>
          <w:szCs w:val="18"/>
        </w:rPr>
        <w:t xml:space="preserve"> 24 CFR </w:t>
      </w:r>
      <w:r w:rsidR="00B16DFB" w:rsidRPr="00FE6E46">
        <w:rPr>
          <w:sz w:val="18"/>
          <w:szCs w:val="18"/>
        </w:rPr>
        <w:t>§</w:t>
      </w:r>
      <w:r w:rsidRPr="00693499">
        <w:rPr>
          <w:sz w:val="18"/>
          <w:szCs w:val="18"/>
        </w:rPr>
        <w:t>570.503.</w:t>
      </w:r>
    </w:p>
  </w:footnote>
  <w:footnote w:id="12">
    <w:p w14:paraId="72AC46BB" w14:textId="45F4DD06" w:rsidR="00323836" w:rsidRPr="008A75F9" w:rsidRDefault="00323836">
      <w:pPr>
        <w:pStyle w:val="FootnoteText"/>
        <w:rPr>
          <w:sz w:val="18"/>
          <w:szCs w:val="18"/>
        </w:rPr>
      </w:pPr>
      <w:r>
        <w:rPr>
          <w:rStyle w:val="FootnoteReference"/>
        </w:rPr>
        <w:footnoteRef/>
      </w:r>
      <w:r w:rsidRPr="008A75F9">
        <w:rPr>
          <w:sz w:val="18"/>
          <w:szCs w:val="18"/>
        </w:rPr>
        <w:t xml:space="preserve">Texas Local Government </w:t>
      </w:r>
      <w:r w:rsidRPr="008A75F9">
        <w:rPr>
          <w:rFonts w:cs="Arial"/>
          <w:sz w:val="18"/>
          <w:szCs w:val="18"/>
        </w:rPr>
        <w:t>Code</w:t>
      </w:r>
      <w:r w:rsidR="00C00D89">
        <w:rPr>
          <w:rFonts w:cs="Arial"/>
          <w:sz w:val="18"/>
          <w:szCs w:val="18"/>
        </w:rPr>
        <w:t>,</w:t>
      </w:r>
      <w:r w:rsidRPr="008A75F9">
        <w:rPr>
          <w:rFonts w:cs="Arial"/>
          <w:sz w:val="18"/>
          <w:szCs w:val="18"/>
        </w:rPr>
        <w:t xml:space="preserve"> </w:t>
      </w:r>
      <w:r w:rsidR="00B16DFB" w:rsidRPr="00FE6E46">
        <w:rPr>
          <w:sz w:val="18"/>
          <w:szCs w:val="18"/>
        </w:rPr>
        <w:t>§</w:t>
      </w:r>
      <w:r w:rsidR="003076CC" w:rsidRPr="00FE6E46">
        <w:rPr>
          <w:sz w:val="18"/>
          <w:szCs w:val="18"/>
        </w:rPr>
        <w:t>§</w:t>
      </w:r>
      <w:r w:rsidRPr="008A75F9">
        <w:rPr>
          <w:rFonts w:cs="Arial"/>
          <w:color w:val="000000"/>
          <w:sz w:val="18"/>
          <w:szCs w:val="18"/>
          <w:shd w:val="clear" w:color="auto" w:fill="FFFFFF"/>
        </w:rPr>
        <w:t>252.0415</w:t>
      </w:r>
      <w:r w:rsidR="003076CC">
        <w:rPr>
          <w:rFonts w:cs="Arial"/>
          <w:color w:val="000000"/>
          <w:sz w:val="18"/>
          <w:szCs w:val="18"/>
          <w:shd w:val="clear" w:color="auto" w:fill="FFFFFF"/>
        </w:rPr>
        <w:t xml:space="preserve"> &amp; 262.025</w:t>
      </w:r>
    </w:p>
  </w:footnote>
  <w:footnote w:id="13">
    <w:p w14:paraId="404216DC" w14:textId="77777777" w:rsidR="00042A9B" w:rsidRDefault="00042A9B"/>
    <w:p w14:paraId="38222283" w14:textId="657F2540" w:rsidR="005C6648" w:rsidRPr="00DF1BE7" w:rsidRDefault="005C6648" w:rsidP="00DF1BE7">
      <w:pPr>
        <w:pStyle w:val="ACDBGBODYArial11"/>
        <w:spacing w:line="240" w:lineRule="auto"/>
        <w:rPr>
          <w:sz w:val="18"/>
          <w:szCs w:val="18"/>
        </w:rPr>
      </w:pPr>
    </w:p>
  </w:footnote>
  <w:footnote w:id="14">
    <w:p w14:paraId="01C0AF9F" w14:textId="6527B2C4" w:rsidR="00A667EC" w:rsidRPr="00DF1BE7" w:rsidRDefault="00A667EC" w:rsidP="00A667EC">
      <w:pPr>
        <w:pStyle w:val="FootnoteText"/>
        <w:rPr>
          <w:sz w:val="18"/>
          <w:szCs w:val="18"/>
        </w:rPr>
      </w:pPr>
      <w:r w:rsidRPr="00DF1BE7">
        <w:rPr>
          <w:rStyle w:val="FootnoteReference"/>
          <w:sz w:val="18"/>
          <w:szCs w:val="18"/>
        </w:rPr>
        <w:footnoteRef/>
      </w:r>
      <w:r w:rsidRPr="00DF1BE7">
        <w:rPr>
          <w:sz w:val="18"/>
          <w:szCs w:val="18"/>
        </w:rPr>
        <w:t xml:space="preserve"> </w:t>
      </w:r>
      <w:r w:rsidRPr="00DF1BE7">
        <w:rPr>
          <w:i/>
          <w:iCs/>
          <w:sz w:val="18"/>
          <w:szCs w:val="18"/>
        </w:rPr>
        <w:t xml:space="preserve">See </w:t>
      </w:r>
      <w:r w:rsidRPr="00DF1BE7">
        <w:rPr>
          <w:sz w:val="18"/>
          <w:szCs w:val="18"/>
        </w:rPr>
        <w:t>Texas Local Government Code</w:t>
      </w:r>
      <w:r w:rsidR="00C00D89">
        <w:rPr>
          <w:sz w:val="18"/>
          <w:szCs w:val="18"/>
        </w:rPr>
        <w:t>,</w:t>
      </w:r>
      <w:r w:rsidRPr="00DF1BE7">
        <w:rPr>
          <w:sz w:val="18"/>
          <w:szCs w:val="18"/>
        </w:rPr>
        <w:t xml:space="preserve"> </w:t>
      </w:r>
      <w:r w:rsidRPr="005C6648">
        <w:rPr>
          <w:sz w:val="18"/>
          <w:szCs w:val="18"/>
        </w:rPr>
        <w:t>§§ 252.043(g) &amp; 271.026</w:t>
      </w:r>
      <w:r>
        <w:rPr>
          <w:sz w:val="18"/>
          <w:szCs w:val="18"/>
        </w:rPr>
        <w:t>(a)</w:t>
      </w:r>
      <w:r w:rsidRPr="005C6648">
        <w:rPr>
          <w:sz w:val="18"/>
          <w:szCs w:val="18"/>
        </w:rPr>
        <w:t>.</w:t>
      </w:r>
    </w:p>
  </w:footnote>
  <w:footnote w:id="15">
    <w:p w14:paraId="581E0F5F" w14:textId="53BC18CD" w:rsidR="00A667EC" w:rsidRDefault="00A667EC" w:rsidP="00A667EC">
      <w:pPr>
        <w:pStyle w:val="FootnoteText"/>
      </w:pPr>
      <w:r w:rsidRPr="00DF1BE7">
        <w:rPr>
          <w:rStyle w:val="FootnoteReference"/>
          <w:sz w:val="18"/>
          <w:szCs w:val="18"/>
        </w:rPr>
        <w:footnoteRef/>
      </w:r>
      <w:r w:rsidRPr="00DF1BE7">
        <w:rPr>
          <w:sz w:val="18"/>
          <w:szCs w:val="18"/>
        </w:rPr>
        <w:t xml:space="preserve"> Texas Local Government Code</w:t>
      </w:r>
      <w:r w:rsidR="00C00D89">
        <w:rPr>
          <w:sz w:val="18"/>
          <w:szCs w:val="18"/>
        </w:rPr>
        <w:t>,</w:t>
      </w:r>
      <w:r w:rsidRPr="00DF1BE7">
        <w:rPr>
          <w:sz w:val="18"/>
          <w:szCs w:val="18"/>
        </w:rPr>
        <w:t xml:space="preserve"> §§252.043(g) &amp; 271.026(b).</w:t>
      </w:r>
    </w:p>
  </w:footnote>
  <w:footnote w:id="16">
    <w:p w14:paraId="1440A616" w14:textId="210D9C35" w:rsidR="00A667EC" w:rsidRPr="00DF1BE7" w:rsidRDefault="00A667EC" w:rsidP="00A667EC">
      <w:pPr>
        <w:pStyle w:val="FootnoteText"/>
        <w:rPr>
          <w:sz w:val="18"/>
          <w:szCs w:val="18"/>
        </w:rPr>
      </w:pPr>
      <w:r w:rsidRPr="00DF1BE7">
        <w:rPr>
          <w:rStyle w:val="FootnoteReference"/>
          <w:sz w:val="18"/>
          <w:szCs w:val="18"/>
        </w:rPr>
        <w:footnoteRef/>
      </w:r>
      <w:r w:rsidRPr="00DF1BE7">
        <w:rPr>
          <w:sz w:val="18"/>
          <w:szCs w:val="18"/>
        </w:rPr>
        <w:t xml:space="preserve"> Texas Local Government Code</w:t>
      </w:r>
      <w:r w:rsidR="00C00D89">
        <w:rPr>
          <w:sz w:val="18"/>
          <w:szCs w:val="18"/>
        </w:rPr>
        <w:t>,</w:t>
      </w:r>
      <w:r w:rsidRPr="00DF1BE7">
        <w:rPr>
          <w:sz w:val="18"/>
          <w:szCs w:val="18"/>
        </w:rPr>
        <w:t xml:space="preserve"> §§252.043(f) &amp; 271.027(a).</w:t>
      </w:r>
    </w:p>
  </w:footnote>
  <w:footnote w:id="17">
    <w:p w14:paraId="163B4F7D" w14:textId="555B837C" w:rsidR="00323836" w:rsidRPr="008A75F9" w:rsidRDefault="00323836">
      <w:pPr>
        <w:pStyle w:val="FootnoteText"/>
        <w:rPr>
          <w:sz w:val="18"/>
          <w:szCs w:val="18"/>
        </w:rPr>
      </w:pPr>
      <w:r w:rsidRPr="008A75F9">
        <w:rPr>
          <w:rStyle w:val="FootnoteReference"/>
          <w:sz w:val="18"/>
          <w:szCs w:val="18"/>
        </w:rPr>
        <w:footnoteRef/>
      </w:r>
      <w:r w:rsidRPr="008A75F9">
        <w:rPr>
          <w:sz w:val="18"/>
          <w:szCs w:val="18"/>
        </w:rPr>
        <w:t xml:space="preserve"> Texas Local Government Code</w:t>
      </w:r>
      <w:r w:rsidR="00C00D89">
        <w:rPr>
          <w:sz w:val="18"/>
          <w:szCs w:val="18"/>
        </w:rPr>
        <w:t>,</w:t>
      </w:r>
      <w:r w:rsidRPr="008A75F9">
        <w:rPr>
          <w:sz w:val="18"/>
          <w:szCs w:val="18"/>
        </w:rPr>
        <w:t xml:space="preserve"> </w:t>
      </w:r>
      <w:r w:rsidR="00B16DFB" w:rsidRPr="00FE6E46">
        <w:rPr>
          <w:sz w:val="18"/>
          <w:szCs w:val="18"/>
        </w:rPr>
        <w:t>§</w:t>
      </w:r>
      <w:r w:rsidRPr="008A75F9">
        <w:rPr>
          <w:sz w:val="18"/>
          <w:szCs w:val="18"/>
        </w:rPr>
        <w:t>252.043(f)</w:t>
      </w:r>
    </w:p>
  </w:footnote>
  <w:footnote w:id="18">
    <w:p w14:paraId="6B76A894" w14:textId="5E02F91D" w:rsidR="00323836" w:rsidRDefault="00323836">
      <w:pPr>
        <w:pStyle w:val="FootnoteText"/>
      </w:pPr>
      <w:r w:rsidRPr="008A75F9">
        <w:rPr>
          <w:rStyle w:val="FootnoteReference"/>
          <w:sz w:val="18"/>
          <w:szCs w:val="18"/>
        </w:rPr>
        <w:footnoteRef/>
      </w:r>
      <w:r w:rsidRPr="008A75F9">
        <w:rPr>
          <w:sz w:val="18"/>
          <w:szCs w:val="18"/>
        </w:rPr>
        <w:t xml:space="preserve"> Texas Local Government Code</w:t>
      </w:r>
      <w:r w:rsidR="00C00D89">
        <w:rPr>
          <w:sz w:val="18"/>
          <w:szCs w:val="18"/>
        </w:rPr>
        <w:t>,</w:t>
      </w:r>
      <w:r w:rsidRPr="008A75F9">
        <w:rPr>
          <w:sz w:val="18"/>
          <w:szCs w:val="18"/>
        </w:rPr>
        <w:t xml:space="preserve"> </w:t>
      </w:r>
      <w:r w:rsidR="00B16DFB" w:rsidRPr="00FE6E46">
        <w:rPr>
          <w:sz w:val="18"/>
          <w:szCs w:val="18"/>
        </w:rPr>
        <w:t>§</w:t>
      </w:r>
      <w:r w:rsidRPr="008A75F9">
        <w:rPr>
          <w:sz w:val="18"/>
          <w:szCs w:val="18"/>
        </w:rPr>
        <w:t>262.027(a)</w:t>
      </w:r>
    </w:p>
  </w:footnote>
  <w:footnote w:id="19">
    <w:p w14:paraId="086EA90E" w14:textId="73CC1E91" w:rsidR="00323836" w:rsidRDefault="00323836">
      <w:pPr>
        <w:pStyle w:val="FootnoteText"/>
      </w:pPr>
      <w:r>
        <w:rPr>
          <w:rStyle w:val="FootnoteReference"/>
        </w:rPr>
        <w:footnoteRef/>
      </w:r>
      <w:r>
        <w:t xml:space="preserve"> </w:t>
      </w:r>
      <w:r w:rsidRPr="008A75F9">
        <w:rPr>
          <w:sz w:val="18"/>
          <w:szCs w:val="18"/>
        </w:rPr>
        <w:t>Texas Local Government Code §§262.023(c) and 252.021</w:t>
      </w:r>
    </w:p>
  </w:footnote>
  <w:footnote w:id="20">
    <w:p w14:paraId="020FC94A" w14:textId="1230DE44" w:rsidR="002C7A9B" w:rsidRPr="008A75F9" w:rsidRDefault="002C7A9B">
      <w:pPr>
        <w:pStyle w:val="FootnoteText"/>
        <w:rPr>
          <w:sz w:val="18"/>
          <w:szCs w:val="18"/>
        </w:rPr>
      </w:pPr>
      <w:r w:rsidRPr="008A75F9">
        <w:rPr>
          <w:rStyle w:val="FootnoteReference"/>
          <w:sz w:val="18"/>
          <w:szCs w:val="18"/>
        </w:rPr>
        <w:footnoteRef/>
      </w:r>
      <w:r w:rsidRPr="008A75F9">
        <w:rPr>
          <w:sz w:val="18"/>
          <w:szCs w:val="18"/>
        </w:rPr>
        <w:t xml:space="preserve"> 2 CFR § 200.320(c)</w:t>
      </w:r>
    </w:p>
  </w:footnote>
  <w:footnote w:id="21">
    <w:p w14:paraId="76B23472" w14:textId="0238F005" w:rsidR="002C7A9B" w:rsidRDefault="002C7A9B">
      <w:pPr>
        <w:pStyle w:val="FootnoteText"/>
      </w:pPr>
      <w:r>
        <w:rPr>
          <w:rStyle w:val="FootnoteReference"/>
        </w:rPr>
        <w:footnoteRef/>
      </w:r>
      <w:r>
        <w:t xml:space="preserve"> </w:t>
      </w:r>
      <w:r w:rsidR="00A965D5">
        <w:t xml:space="preserve">Tex. Loc. Gov’t Code, </w:t>
      </w:r>
      <w:r w:rsidR="00B16DFB" w:rsidRPr="00FE6E46">
        <w:rPr>
          <w:sz w:val="18"/>
          <w:szCs w:val="18"/>
        </w:rPr>
        <w:t>§</w:t>
      </w:r>
      <w:r w:rsidRPr="008A75F9">
        <w:rPr>
          <w:sz w:val="18"/>
          <w:szCs w:val="18"/>
        </w:rPr>
        <w:t xml:space="preserve">252.043 </w:t>
      </w:r>
      <w:r w:rsidR="00A965D5">
        <w:rPr>
          <w:sz w:val="18"/>
          <w:szCs w:val="18"/>
        </w:rPr>
        <w:t>(</w:t>
      </w:r>
      <w:r w:rsidR="00A965D5" w:rsidRPr="008A75F9">
        <w:rPr>
          <w:sz w:val="18"/>
          <w:szCs w:val="18"/>
        </w:rPr>
        <w:t>Municipalities</w:t>
      </w:r>
      <w:r w:rsidR="00A965D5">
        <w:rPr>
          <w:sz w:val="18"/>
          <w:szCs w:val="18"/>
        </w:rPr>
        <w:t xml:space="preserve">), </w:t>
      </w:r>
      <w:r w:rsidR="00B16DFB" w:rsidRPr="00FE6E46">
        <w:rPr>
          <w:sz w:val="18"/>
          <w:szCs w:val="18"/>
        </w:rPr>
        <w:t>§</w:t>
      </w:r>
      <w:r w:rsidRPr="008A75F9">
        <w:rPr>
          <w:sz w:val="18"/>
          <w:szCs w:val="18"/>
        </w:rPr>
        <w:t>262.027</w:t>
      </w:r>
      <w:r w:rsidR="00A965D5" w:rsidRPr="00A965D5">
        <w:rPr>
          <w:sz w:val="18"/>
          <w:szCs w:val="18"/>
        </w:rPr>
        <w:t xml:space="preserve"> </w:t>
      </w:r>
      <w:r w:rsidR="00A965D5">
        <w:rPr>
          <w:sz w:val="18"/>
          <w:szCs w:val="18"/>
        </w:rPr>
        <w:t>(</w:t>
      </w:r>
      <w:r w:rsidR="00A965D5" w:rsidRPr="008A75F9">
        <w:rPr>
          <w:sz w:val="18"/>
          <w:szCs w:val="18"/>
        </w:rPr>
        <w:t>Counties</w:t>
      </w:r>
      <w:r w:rsidR="00A965D5">
        <w:rPr>
          <w:sz w:val="18"/>
          <w:szCs w:val="18"/>
        </w:rPr>
        <w:t>)</w:t>
      </w:r>
    </w:p>
  </w:footnote>
  <w:footnote w:id="22">
    <w:p w14:paraId="1870008A" w14:textId="6DCCEC8F" w:rsidR="00774A56" w:rsidRPr="008A75F9" w:rsidRDefault="00774A56">
      <w:pPr>
        <w:pStyle w:val="FootnoteText"/>
        <w:rPr>
          <w:sz w:val="18"/>
          <w:szCs w:val="18"/>
        </w:rPr>
      </w:pPr>
      <w:r>
        <w:rPr>
          <w:rStyle w:val="FootnoteReference"/>
        </w:rPr>
        <w:footnoteRef/>
      </w:r>
      <w:r>
        <w:t xml:space="preserve"> </w:t>
      </w:r>
      <w:r w:rsidRPr="008A75F9">
        <w:rPr>
          <w:sz w:val="18"/>
          <w:szCs w:val="18"/>
        </w:rPr>
        <w:t>24 CFR §75.27</w:t>
      </w:r>
    </w:p>
  </w:footnote>
  <w:footnote w:id="23">
    <w:p w14:paraId="5867F265" w14:textId="210F75A1" w:rsidR="00774A56" w:rsidRDefault="00774A56">
      <w:pPr>
        <w:pStyle w:val="FootnoteText"/>
      </w:pPr>
      <w:r w:rsidRPr="008A75F9">
        <w:rPr>
          <w:rStyle w:val="FootnoteReference"/>
          <w:sz w:val="18"/>
          <w:szCs w:val="18"/>
        </w:rPr>
        <w:footnoteRef/>
      </w:r>
      <w:r w:rsidRPr="008A75F9">
        <w:rPr>
          <w:sz w:val="18"/>
          <w:szCs w:val="18"/>
        </w:rPr>
        <w:t xml:space="preserve"> 41 CFR §60-1.4(b)</w:t>
      </w:r>
    </w:p>
  </w:footnote>
  <w:footnote w:id="24">
    <w:p w14:paraId="737D0103" w14:textId="763056AF" w:rsidR="00774A56" w:rsidRPr="008A75F9" w:rsidRDefault="00774A56">
      <w:pPr>
        <w:pStyle w:val="FootnoteText"/>
        <w:rPr>
          <w:sz w:val="18"/>
          <w:szCs w:val="18"/>
        </w:rPr>
      </w:pPr>
      <w:r>
        <w:rPr>
          <w:rStyle w:val="FootnoteReference"/>
        </w:rPr>
        <w:footnoteRef/>
      </w:r>
      <w:r>
        <w:t xml:space="preserve"> </w:t>
      </w:r>
      <w:r w:rsidRPr="008A75F9">
        <w:rPr>
          <w:sz w:val="18"/>
          <w:szCs w:val="18"/>
        </w:rPr>
        <w:t xml:space="preserve">40 U.S.C. 3141 </w:t>
      </w:r>
      <w:r w:rsidRPr="008A75F9">
        <w:rPr>
          <w:i/>
          <w:sz w:val="18"/>
          <w:szCs w:val="18"/>
        </w:rPr>
        <w:t>et seq</w:t>
      </w:r>
      <w:r w:rsidRPr="008A75F9">
        <w:rPr>
          <w:sz w:val="18"/>
          <w:szCs w:val="18"/>
        </w:rPr>
        <w:t>.</w:t>
      </w:r>
    </w:p>
  </w:footnote>
  <w:footnote w:id="25">
    <w:p w14:paraId="2AD44FAB" w14:textId="03B1F6F0" w:rsidR="00774A56" w:rsidRPr="008A75F9" w:rsidRDefault="00774A56">
      <w:pPr>
        <w:pStyle w:val="FootnoteText"/>
        <w:rPr>
          <w:sz w:val="18"/>
          <w:szCs w:val="18"/>
        </w:rPr>
      </w:pPr>
      <w:r w:rsidRPr="008A75F9">
        <w:rPr>
          <w:rStyle w:val="FootnoteReference"/>
          <w:sz w:val="18"/>
          <w:szCs w:val="18"/>
        </w:rPr>
        <w:footnoteRef/>
      </w:r>
      <w:r w:rsidRPr="008A75F9">
        <w:rPr>
          <w:sz w:val="18"/>
          <w:szCs w:val="18"/>
        </w:rPr>
        <w:t xml:space="preserve"> 29 CFR Part 5</w:t>
      </w:r>
    </w:p>
  </w:footnote>
  <w:footnote w:id="26">
    <w:p w14:paraId="6774479F" w14:textId="67B3B585" w:rsidR="00774A56" w:rsidRPr="008A75F9" w:rsidRDefault="00774A56">
      <w:pPr>
        <w:pStyle w:val="FootnoteText"/>
        <w:rPr>
          <w:sz w:val="18"/>
          <w:szCs w:val="18"/>
        </w:rPr>
      </w:pPr>
      <w:r w:rsidRPr="008A75F9">
        <w:rPr>
          <w:rStyle w:val="FootnoteReference"/>
          <w:sz w:val="18"/>
          <w:szCs w:val="18"/>
        </w:rPr>
        <w:footnoteRef/>
      </w:r>
      <w:r w:rsidRPr="008A75F9">
        <w:rPr>
          <w:sz w:val="18"/>
          <w:szCs w:val="18"/>
        </w:rPr>
        <w:t xml:space="preserve"> 40 U.S.C. 3145</w:t>
      </w:r>
    </w:p>
  </w:footnote>
  <w:footnote w:id="27">
    <w:p w14:paraId="7C1C6B9C" w14:textId="1C89E29B" w:rsidR="00774A56" w:rsidRPr="008A75F9" w:rsidRDefault="00774A56">
      <w:pPr>
        <w:pStyle w:val="FootnoteText"/>
        <w:rPr>
          <w:sz w:val="18"/>
          <w:szCs w:val="18"/>
        </w:rPr>
      </w:pPr>
      <w:r w:rsidRPr="008A75F9">
        <w:rPr>
          <w:rStyle w:val="FootnoteReference"/>
          <w:sz w:val="18"/>
          <w:szCs w:val="18"/>
        </w:rPr>
        <w:footnoteRef/>
      </w:r>
      <w:r w:rsidRPr="008A75F9">
        <w:rPr>
          <w:sz w:val="18"/>
          <w:szCs w:val="18"/>
        </w:rPr>
        <w:t xml:space="preserve"> 29 CFR Part 3</w:t>
      </w:r>
    </w:p>
  </w:footnote>
  <w:footnote w:id="28">
    <w:p w14:paraId="49DBF28D" w14:textId="7D387E89" w:rsidR="00774A56" w:rsidRPr="008A75F9" w:rsidRDefault="00774A56">
      <w:pPr>
        <w:pStyle w:val="FootnoteText"/>
        <w:rPr>
          <w:sz w:val="18"/>
          <w:szCs w:val="18"/>
        </w:rPr>
      </w:pPr>
      <w:r w:rsidRPr="008A75F9">
        <w:rPr>
          <w:rStyle w:val="FootnoteReference"/>
          <w:sz w:val="18"/>
          <w:szCs w:val="18"/>
        </w:rPr>
        <w:footnoteRef/>
      </w:r>
      <w:r w:rsidRPr="008A75F9">
        <w:rPr>
          <w:sz w:val="18"/>
          <w:szCs w:val="18"/>
        </w:rPr>
        <w:t xml:space="preserve"> 40 U.S.C. §§3701–3708</w:t>
      </w:r>
    </w:p>
  </w:footnote>
  <w:footnote w:id="29">
    <w:p w14:paraId="329AE5A4" w14:textId="606851FA" w:rsidR="00774A56" w:rsidRPr="008A75F9" w:rsidRDefault="00774A56">
      <w:pPr>
        <w:pStyle w:val="FootnoteText"/>
        <w:rPr>
          <w:sz w:val="18"/>
          <w:szCs w:val="18"/>
        </w:rPr>
      </w:pPr>
      <w:r w:rsidRPr="008A75F9">
        <w:rPr>
          <w:rStyle w:val="FootnoteReference"/>
          <w:sz w:val="18"/>
          <w:szCs w:val="18"/>
        </w:rPr>
        <w:footnoteRef/>
      </w:r>
      <w:r w:rsidRPr="008A75F9">
        <w:rPr>
          <w:sz w:val="18"/>
          <w:szCs w:val="18"/>
        </w:rPr>
        <w:t xml:space="preserve"> 42 U.S.C. §§7401-7671q</w:t>
      </w:r>
    </w:p>
  </w:footnote>
  <w:footnote w:id="30">
    <w:p w14:paraId="3AA53578" w14:textId="1DA7DC0C" w:rsidR="00774A56" w:rsidRPr="008A75F9" w:rsidRDefault="00774A56">
      <w:pPr>
        <w:pStyle w:val="FootnoteText"/>
        <w:rPr>
          <w:sz w:val="18"/>
          <w:szCs w:val="18"/>
        </w:rPr>
      </w:pPr>
      <w:r w:rsidRPr="008A75F9">
        <w:rPr>
          <w:rStyle w:val="FootnoteReference"/>
          <w:sz w:val="18"/>
          <w:szCs w:val="18"/>
        </w:rPr>
        <w:footnoteRef/>
      </w:r>
      <w:r w:rsidRPr="008A75F9">
        <w:rPr>
          <w:sz w:val="18"/>
          <w:szCs w:val="18"/>
        </w:rPr>
        <w:t xml:space="preserve"> 33 U.S.C. §§1251-1387</w:t>
      </w:r>
    </w:p>
  </w:footnote>
  <w:footnote w:id="31">
    <w:p w14:paraId="47FE6BBC" w14:textId="0E52AA3F" w:rsidR="00774A56" w:rsidRDefault="00774A56">
      <w:pPr>
        <w:pStyle w:val="FootnoteText"/>
      </w:pPr>
      <w:r w:rsidRPr="008A75F9">
        <w:rPr>
          <w:rStyle w:val="FootnoteReference"/>
          <w:sz w:val="18"/>
          <w:szCs w:val="18"/>
        </w:rPr>
        <w:footnoteRef/>
      </w:r>
      <w:r w:rsidRPr="008A75F9">
        <w:rPr>
          <w:sz w:val="18"/>
          <w:szCs w:val="18"/>
        </w:rPr>
        <w:t xml:space="preserve"> </w:t>
      </w:r>
      <w:r w:rsidR="00BF2A97" w:rsidRPr="00BF2A97">
        <w:rPr>
          <w:sz w:val="18"/>
          <w:szCs w:val="18"/>
        </w:rPr>
        <w:t>Texas Labor Code</w:t>
      </w:r>
      <w:r w:rsidR="00A965D5">
        <w:rPr>
          <w:sz w:val="18"/>
          <w:szCs w:val="18"/>
        </w:rPr>
        <w:t>,</w:t>
      </w:r>
      <w:r w:rsidR="00BF2A97" w:rsidRPr="00BF2A97">
        <w:rPr>
          <w:sz w:val="18"/>
          <w:szCs w:val="18"/>
        </w:rPr>
        <w:t xml:space="preserve"> </w:t>
      </w:r>
      <w:r w:rsidRPr="008A75F9">
        <w:rPr>
          <w:sz w:val="18"/>
          <w:szCs w:val="18"/>
        </w:rPr>
        <w:t>§406.096</w:t>
      </w:r>
    </w:p>
  </w:footnote>
  <w:footnote w:id="32">
    <w:p w14:paraId="512373C2" w14:textId="5088D117" w:rsidR="00D57367" w:rsidRPr="00693499" w:rsidRDefault="00D57367">
      <w:pPr>
        <w:pStyle w:val="FootnoteText"/>
        <w:rPr>
          <w:sz w:val="18"/>
          <w:szCs w:val="18"/>
        </w:rPr>
      </w:pPr>
      <w:r w:rsidRPr="00693499">
        <w:rPr>
          <w:rStyle w:val="FootnoteReference"/>
          <w:sz w:val="18"/>
          <w:szCs w:val="18"/>
        </w:rPr>
        <w:footnoteRef/>
      </w:r>
      <w:r w:rsidRPr="00693499">
        <w:rPr>
          <w:sz w:val="18"/>
          <w:szCs w:val="18"/>
        </w:rPr>
        <w:t xml:space="preserve"> Texas Government Code</w:t>
      </w:r>
      <w:r w:rsidR="00A965D5">
        <w:rPr>
          <w:sz w:val="18"/>
          <w:szCs w:val="18"/>
        </w:rPr>
        <w:t>,</w:t>
      </w:r>
      <w:r w:rsidRPr="00693499">
        <w:rPr>
          <w:sz w:val="18"/>
          <w:szCs w:val="18"/>
        </w:rPr>
        <w:t xml:space="preserve"> Chapter 2253</w:t>
      </w:r>
    </w:p>
  </w:footnote>
  <w:footnote w:id="33">
    <w:p w14:paraId="61350606" w14:textId="4FBFDAE2" w:rsidR="00D57367" w:rsidRPr="00693499" w:rsidRDefault="00D57367">
      <w:pPr>
        <w:pStyle w:val="FootnoteText"/>
        <w:rPr>
          <w:sz w:val="18"/>
          <w:szCs w:val="18"/>
        </w:rPr>
      </w:pPr>
      <w:r w:rsidRPr="00693499">
        <w:rPr>
          <w:rStyle w:val="FootnoteReference"/>
          <w:sz w:val="18"/>
          <w:szCs w:val="18"/>
        </w:rPr>
        <w:footnoteRef/>
      </w:r>
      <w:r w:rsidRPr="00693499">
        <w:rPr>
          <w:sz w:val="18"/>
          <w:szCs w:val="18"/>
        </w:rPr>
        <w:t xml:space="preserve"> Ibid</w:t>
      </w:r>
    </w:p>
  </w:footnote>
  <w:footnote w:id="34">
    <w:p w14:paraId="64EEBE9D" w14:textId="6C12F868" w:rsidR="00D57367" w:rsidRPr="00693499" w:rsidRDefault="00D57367">
      <w:pPr>
        <w:pStyle w:val="FootnoteText"/>
        <w:rPr>
          <w:sz w:val="18"/>
          <w:szCs w:val="18"/>
        </w:rPr>
      </w:pPr>
      <w:r w:rsidRPr="00693499">
        <w:rPr>
          <w:rStyle w:val="FootnoteReference"/>
          <w:sz w:val="18"/>
          <w:szCs w:val="18"/>
        </w:rPr>
        <w:footnoteRef/>
      </w:r>
      <w:r w:rsidRPr="00693499">
        <w:rPr>
          <w:sz w:val="18"/>
          <w:szCs w:val="18"/>
        </w:rPr>
        <w:t xml:space="preserve"> Texas Government Code</w:t>
      </w:r>
      <w:r w:rsidR="00A965D5">
        <w:rPr>
          <w:sz w:val="18"/>
          <w:szCs w:val="18"/>
        </w:rPr>
        <w:t>,</w:t>
      </w:r>
      <w:r w:rsidRPr="00693499">
        <w:rPr>
          <w:sz w:val="18"/>
          <w:szCs w:val="18"/>
        </w:rPr>
        <w:t xml:space="preserve"> §§2253.021(a)(2)(B) and 252.044.</w:t>
      </w:r>
    </w:p>
  </w:footnote>
  <w:footnote w:id="35">
    <w:p w14:paraId="6EC1CC2C" w14:textId="3C17A6F5" w:rsidR="00D57367" w:rsidRPr="00693499" w:rsidRDefault="00D57367">
      <w:pPr>
        <w:pStyle w:val="FootnoteText"/>
        <w:rPr>
          <w:sz w:val="18"/>
          <w:szCs w:val="18"/>
        </w:rPr>
      </w:pPr>
      <w:r w:rsidRPr="00693499">
        <w:rPr>
          <w:rStyle w:val="FootnoteReference"/>
          <w:sz w:val="18"/>
          <w:szCs w:val="18"/>
        </w:rPr>
        <w:footnoteRef/>
      </w:r>
      <w:r w:rsidRPr="00693499">
        <w:rPr>
          <w:sz w:val="18"/>
          <w:szCs w:val="18"/>
        </w:rPr>
        <w:t xml:space="preserve"> Texas Government Code</w:t>
      </w:r>
      <w:r w:rsidR="00A965D5">
        <w:rPr>
          <w:sz w:val="18"/>
          <w:szCs w:val="18"/>
        </w:rPr>
        <w:t>,</w:t>
      </w:r>
      <w:r w:rsidRPr="00693499">
        <w:rPr>
          <w:sz w:val="18"/>
          <w:szCs w:val="18"/>
        </w:rPr>
        <w:t xml:space="preserve"> §2253.021(a)(2)(A)</w:t>
      </w:r>
    </w:p>
  </w:footnote>
  <w:footnote w:id="36">
    <w:p w14:paraId="0982CACB" w14:textId="6F99C07E" w:rsidR="00D57367" w:rsidRDefault="00D57367">
      <w:pPr>
        <w:pStyle w:val="FootnoteText"/>
      </w:pPr>
      <w:r w:rsidRPr="00693499">
        <w:rPr>
          <w:rStyle w:val="FootnoteReference"/>
          <w:sz w:val="18"/>
          <w:szCs w:val="18"/>
        </w:rPr>
        <w:footnoteRef/>
      </w:r>
      <w:r w:rsidRPr="00693499">
        <w:rPr>
          <w:sz w:val="18"/>
          <w:szCs w:val="18"/>
        </w:rPr>
        <w:t xml:space="preserve"> </w:t>
      </w:r>
      <w:r w:rsidR="00A965D5">
        <w:rPr>
          <w:sz w:val="18"/>
          <w:szCs w:val="18"/>
        </w:rPr>
        <w:t xml:space="preserve">Texas </w:t>
      </w:r>
      <w:r w:rsidRPr="00693499">
        <w:rPr>
          <w:sz w:val="18"/>
          <w:szCs w:val="18"/>
        </w:rPr>
        <w:t>Local Government Code</w:t>
      </w:r>
      <w:r w:rsidR="00A965D5">
        <w:rPr>
          <w:sz w:val="18"/>
          <w:szCs w:val="18"/>
        </w:rPr>
        <w:t>,</w:t>
      </w:r>
      <w:r w:rsidRPr="00693499">
        <w:rPr>
          <w:sz w:val="18"/>
          <w:szCs w:val="18"/>
        </w:rPr>
        <w:t xml:space="preserve"> §262.032</w:t>
      </w:r>
    </w:p>
  </w:footnote>
  <w:footnote w:id="37">
    <w:p w14:paraId="29301D7D" w14:textId="76448CFB" w:rsidR="00D57367" w:rsidRPr="008A75F9" w:rsidRDefault="00D57367">
      <w:pPr>
        <w:pStyle w:val="FootnoteText"/>
        <w:rPr>
          <w:sz w:val="18"/>
          <w:szCs w:val="18"/>
        </w:rPr>
      </w:pPr>
      <w:r w:rsidRPr="008A75F9">
        <w:rPr>
          <w:rStyle w:val="FootnoteReference"/>
          <w:sz w:val="18"/>
          <w:szCs w:val="18"/>
        </w:rPr>
        <w:footnoteRef/>
      </w:r>
      <w:r w:rsidRPr="008A75F9">
        <w:rPr>
          <w:sz w:val="18"/>
          <w:szCs w:val="18"/>
        </w:rPr>
        <w:t xml:space="preserve"> </w:t>
      </w:r>
      <w:r w:rsidRPr="008A75F9">
        <w:rPr>
          <w:bCs/>
          <w:sz w:val="18"/>
          <w:szCs w:val="18"/>
        </w:rPr>
        <w:t xml:space="preserve">Texas Local </w:t>
      </w:r>
      <w:r w:rsidR="00A965D5" w:rsidRPr="008A75F9">
        <w:rPr>
          <w:bCs/>
          <w:sz w:val="18"/>
          <w:szCs w:val="18"/>
        </w:rPr>
        <w:t>Gov</w:t>
      </w:r>
      <w:r w:rsidR="00A965D5">
        <w:rPr>
          <w:bCs/>
          <w:sz w:val="18"/>
          <w:szCs w:val="18"/>
        </w:rPr>
        <w:t>ernment</w:t>
      </w:r>
      <w:r w:rsidRPr="008A75F9">
        <w:rPr>
          <w:bCs/>
          <w:sz w:val="18"/>
          <w:szCs w:val="18"/>
        </w:rPr>
        <w:t xml:space="preserve"> Code</w:t>
      </w:r>
      <w:r w:rsidR="00A965D5">
        <w:rPr>
          <w:bCs/>
          <w:sz w:val="18"/>
          <w:szCs w:val="18"/>
        </w:rPr>
        <w:t>,</w:t>
      </w:r>
      <w:r w:rsidRPr="008A75F9">
        <w:rPr>
          <w:bCs/>
          <w:sz w:val="18"/>
          <w:szCs w:val="18"/>
        </w:rPr>
        <w:t xml:space="preserve"> §252.048 (</w:t>
      </w:r>
      <w:r w:rsidR="0033541F">
        <w:rPr>
          <w:bCs/>
          <w:sz w:val="18"/>
          <w:szCs w:val="18"/>
        </w:rPr>
        <w:t>municipalities</w:t>
      </w:r>
      <w:r w:rsidRPr="008A75F9">
        <w:rPr>
          <w:bCs/>
          <w:sz w:val="18"/>
          <w:szCs w:val="18"/>
        </w:rPr>
        <w:t>)</w:t>
      </w:r>
      <w:r w:rsidR="0033541F">
        <w:rPr>
          <w:bCs/>
          <w:sz w:val="18"/>
          <w:szCs w:val="18"/>
        </w:rPr>
        <w:t>,</w:t>
      </w:r>
      <w:r w:rsidRPr="008A75F9">
        <w:rPr>
          <w:bCs/>
          <w:sz w:val="18"/>
          <w:szCs w:val="18"/>
        </w:rPr>
        <w:t xml:space="preserve"> §262.031 (count</w:t>
      </w:r>
      <w:r w:rsidR="0033541F">
        <w:rPr>
          <w:bCs/>
          <w:sz w:val="18"/>
          <w:szCs w:val="18"/>
        </w:rPr>
        <w:t>ies</w:t>
      </w:r>
      <w:r w:rsidRPr="008A75F9">
        <w:rPr>
          <w:bCs/>
          <w:sz w:val="18"/>
          <w:szCs w:val="18"/>
        </w:rPr>
        <w:t>)</w:t>
      </w:r>
    </w:p>
  </w:footnote>
  <w:footnote w:id="38">
    <w:p w14:paraId="70D37611" w14:textId="79459EFB" w:rsidR="00D57367" w:rsidRPr="008A75F9" w:rsidRDefault="00D57367">
      <w:pPr>
        <w:pStyle w:val="FootnoteText"/>
        <w:rPr>
          <w:sz w:val="18"/>
          <w:szCs w:val="18"/>
        </w:rPr>
      </w:pPr>
      <w:r w:rsidRPr="008A75F9">
        <w:rPr>
          <w:rStyle w:val="FootnoteReference"/>
          <w:sz w:val="18"/>
          <w:szCs w:val="18"/>
        </w:rPr>
        <w:footnoteRef/>
      </w:r>
      <w:r w:rsidRPr="008A75F9">
        <w:rPr>
          <w:sz w:val="18"/>
          <w:szCs w:val="18"/>
        </w:rPr>
        <w:t xml:space="preserve"> Texas Local Gov</w:t>
      </w:r>
      <w:r w:rsidR="00007861">
        <w:rPr>
          <w:sz w:val="18"/>
          <w:szCs w:val="18"/>
        </w:rPr>
        <w:t>ernment</w:t>
      </w:r>
      <w:r w:rsidRPr="008A75F9">
        <w:rPr>
          <w:sz w:val="18"/>
          <w:szCs w:val="18"/>
        </w:rPr>
        <w:t xml:space="preserve"> Code</w:t>
      </w:r>
      <w:r w:rsidR="0033541F">
        <w:rPr>
          <w:sz w:val="18"/>
          <w:szCs w:val="18"/>
        </w:rPr>
        <w:t>,</w:t>
      </w:r>
      <w:r w:rsidRPr="008A75F9">
        <w:rPr>
          <w:sz w:val="18"/>
          <w:szCs w:val="18"/>
        </w:rPr>
        <w:t xml:space="preserve"> §252.048(d)</w:t>
      </w:r>
    </w:p>
  </w:footnote>
  <w:footnote w:id="39">
    <w:p w14:paraId="118CE029" w14:textId="4EC17934" w:rsidR="00D57367" w:rsidRPr="008A75F9" w:rsidRDefault="00D57367">
      <w:pPr>
        <w:pStyle w:val="FootnoteText"/>
        <w:rPr>
          <w:sz w:val="18"/>
          <w:szCs w:val="18"/>
        </w:rPr>
      </w:pPr>
      <w:r w:rsidRPr="008A75F9">
        <w:rPr>
          <w:rStyle w:val="FootnoteReference"/>
          <w:sz w:val="18"/>
          <w:szCs w:val="18"/>
        </w:rPr>
        <w:footnoteRef/>
      </w:r>
      <w:r w:rsidRPr="008A75F9">
        <w:rPr>
          <w:sz w:val="18"/>
          <w:szCs w:val="18"/>
        </w:rPr>
        <w:t xml:space="preserve"> Ibid</w:t>
      </w:r>
      <w:r w:rsidR="0033541F">
        <w:rPr>
          <w:sz w:val="18"/>
          <w:szCs w:val="18"/>
        </w:rPr>
        <w:t>.</w:t>
      </w:r>
    </w:p>
  </w:footnote>
  <w:footnote w:id="40">
    <w:p w14:paraId="53E87A5F" w14:textId="3DAFE51B" w:rsidR="00D57367" w:rsidRPr="008A75F9" w:rsidRDefault="00D57367">
      <w:pPr>
        <w:pStyle w:val="FootnoteText"/>
        <w:rPr>
          <w:sz w:val="18"/>
          <w:szCs w:val="18"/>
        </w:rPr>
      </w:pPr>
      <w:r w:rsidRPr="008A75F9">
        <w:rPr>
          <w:rStyle w:val="FootnoteReference"/>
          <w:sz w:val="18"/>
          <w:szCs w:val="18"/>
        </w:rPr>
        <w:footnoteRef/>
      </w:r>
      <w:r w:rsidRPr="008A75F9">
        <w:rPr>
          <w:sz w:val="18"/>
          <w:szCs w:val="18"/>
        </w:rPr>
        <w:t xml:space="preserve"> Texas Local Gov</w:t>
      </w:r>
      <w:r w:rsidR="00007861">
        <w:rPr>
          <w:sz w:val="18"/>
          <w:szCs w:val="18"/>
        </w:rPr>
        <w:t>ernmen</w:t>
      </w:r>
      <w:r w:rsidRPr="008A75F9">
        <w:rPr>
          <w:sz w:val="18"/>
          <w:szCs w:val="18"/>
        </w:rPr>
        <w:t>t Code</w:t>
      </w:r>
      <w:r w:rsidR="0033541F">
        <w:rPr>
          <w:sz w:val="18"/>
          <w:szCs w:val="18"/>
        </w:rPr>
        <w:t>,</w:t>
      </w:r>
      <w:r w:rsidRPr="008A75F9">
        <w:rPr>
          <w:sz w:val="18"/>
          <w:szCs w:val="18"/>
        </w:rPr>
        <w:t xml:space="preserve"> </w:t>
      </w:r>
      <w:r w:rsidRPr="008A75F9">
        <w:rPr>
          <w:bCs/>
          <w:sz w:val="18"/>
          <w:szCs w:val="18"/>
        </w:rPr>
        <w:t>§</w:t>
      </w:r>
      <w:r w:rsidRPr="008A75F9">
        <w:rPr>
          <w:sz w:val="18"/>
          <w:szCs w:val="18"/>
        </w:rPr>
        <w:t>262.031(b)</w:t>
      </w:r>
    </w:p>
  </w:footnote>
  <w:footnote w:id="41">
    <w:p w14:paraId="11256ACB" w14:textId="0F009791" w:rsidR="00D57367" w:rsidRDefault="00D57367">
      <w:pPr>
        <w:pStyle w:val="FootnoteText"/>
      </w:pPr>
      <w:r w:rsidRPr="008A75F9">
        <w:rPr>
          <w:rStyle w:val="FootnoteReference"/>
          <w:sz w:val="18"/>
          <w:szCs w:val="18"/>
        </w:rPr>
        <w:footnoteRef/>
      </w:r>
      <w:r w:rsidRPr="008A75F9">
        <w:rPr>
          <w:sz w:val="18"/>
          <w:szCs w:val="18"/>
        </w:rPr>
        <w:t xml:space="preserve"> Ibid</w:t>
      </w:r>
      <w:r w:rsidR="0033541F">
        <w:rPr>
          <w:sz w:val="18"/>
          <w:szCs w:val="18"/>
        </w:rPr>
        <w:t>.</w:t>
      </w:r>
    </w:p>
  </w:footnote>
  <w:footnote w:id="42">
    <w:p w14:paraId="74C1A3FC" w14:textId="4E1E43A0" w:rsidR="00227379" w:rsidRPr="008A75F9" w:rsidRDefault="00227379">
      <w:pPr>
        <w:pStyle w:val="FootnoteText"/>
        <w:rPr>
          <w:sz w:val="18"/>
          <w:szCs w:val="18"/>
        </w:rPr>
      </w:pPr>
      <w:r w:rsidRPr="008A75F9">
        <w:rPr>
          <w:rStyle w:val="FootnoteReference"/>
          <w:sz w:val="18"/>
          <w:szCs w:val="18"/>
        </w:rPr>
        <w:footnoteRef/>
      </w:r>
      <w:r w:rsidRPr="008A75F9">
        <w:rPr>
          <w:sz w:val="18"/>
          <w:szCs w:val="18"/>
        </w:rPr>
        <w:t xml:space="preserve"> Texas Local Government Code</w:t>
      </w:r>
      <w:r w:rsidR="0033541F">
        <w:rPr>
          <w:sz w:val="18"/>
          <w:szCs w:val="18"/>
        </w:rPr>
        <w:t>,</w:t>
      </w:r>
      <w:r w:rsidRPr="008A75F9">
        <w:rPr>
          <w:sz w:val="18"/>
          <w:szCs w:val="18"/>
        </w:rPr>
        <w:t xml:space="preserve"> </w:t>
      </w:r>
      <w:r w:rsidR="00007861" w:rsidRPr="00FE6E46">
        <w:rPr>
          <w:sz w:val="18"/>
          <w:szCs w:val="18"/>
        </w:rPr>
        <w:t>§</w:t>
      </w:r>
      <w:r w:rsidRPr="008A75F9">
        <w:rPr>
          <w:sz w:val="18"/>
          <w:szCs w:val="18"/>
        </w:rPr>
        <w:t>252.041(a)</w:t>
      </w:r>
    </w:p>
  </w:footnote>
  <w:footnote w:id="43">
    <w:p w14:paraId="4AC284D9" w14:textId="45E0D40E" w:rsidR="00227379" w:rsidRDefault="00227379">
      <w:pPr>
        <w:pStyle w:val="FootnoteText"/>
      </w:pPr>
      <w:r w:rsidRPr="008A75F9">
        <w:rPr>
          <w:rStyle w:val="FootnoteReference"/>
          <w:sz w:val="18"/>
          <w:szCs w:val="18"/>
        </w:rPr>
        <w:footnoteRef/>
      </w:r>
      <w:r w:rsidRPr="008A75F9">
        <w:rPr>
          <w:sz w:val="18"/>
          <w:szCs w:val="18"/>
        </w:rPr>
        <w:t xml:space="preserve"> Texas Local Government Code</w:t>
      </w:r>
      <w:r w:rsidR="0033541F">
        <w:rPr>
          <w:sz w:val="18"/>
          <w:szCs w:val="18"/>
        </w:rPr>
        <w:t>,</w:t>
      </w:r>
      <w:r w:rsidRPr="008A75F9">
        <w:rPr>
          <w:sz w:val="18"/>
          <w:szCs w:val="18"/>
        </w:rPr>
        <w:t xml:space="preserve"> </w:t>
      </w:r>
      <w:r w:rsidR="00007861" w:rsidRPr="00FE6E46">
        <w:rPr>
          <w:sz w:val="18"/>
          <w:szCs w:val="18"/>
        </w:rPr>
        <w:t>§</w:t>
      </w:r>
      <w:r w:rsidRPr="008A75F9">
        <w:rPr>
          <w:sz w:val="18"/>
          <w:szCs w:val="18"/>
        </w:rPr>
        <w:t>262.025(a)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22B03" w14:textId="010F4718" w:rsidR="00415E7E" w:rsidRDefault="00000000">
    <w:pPr>
      <w:pStyle w:val="Header"/>
    </w:pPr>
    <w:r>
      <w:rPr>
        <w:noProof/>
      </w:rPr>
      <w:pict w14:anchorId="119F6EF8">
        <v:shapetype id="_x0000_t202" coordsize="21600,21600" o:spt="202" path="m,l,21600r21600,l21600,xe">
          <v:stroke joinstyle="miter"/>
          <v:path gradientshapeok="t" o:connecttype="rect"/>
        </v:shapetype>
        <v:shape id="Text Box 21" o:spid="_x0000_s1025" type="#_x0000_t202" style="position:absolute;margin-left:0;margin-top:0;width:495.9pt;height:165.3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" o:allowincell="f" filled="f" stroked="f">
          <v:stroke joinstyle="round"/>
          <o:lock v:ext="edit" shapetype="t"/>
          <v:textbox style="mso-fit-shape-to-text:t">
            <w:txbxContent>
              <w:p w14:paraId="06C205B1" w14:textId="77777777" w:rsidR="000C6B4E" w:rsidRDefault="000C6B4E" w:rsidP="000C6B4E">
                <w:pPr>
                  <w:jc w:val="center"/>
                  <w:rPr>
                    <w:color w:val="C0C0C0"/>
                    <w:sz w:val="2"/>
                    <w:szCs w:val="2"/>
                  </w:rP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6738918"/>
      <w:docPartObj>
        <w:docPartGallery w:val="Watermarks"/>
        <w:docPartUnique/>
      </w:docPartObj>
    </w:sdtPr>
    <w:sdtContent>
      <w:p w14:paraId="66CE1D00" w14:textId="334370D3" w:rsidR="002B05E9" w:rsidRDefault="002B05E9">
        <w:pPr>
          <w:pStyle w:val="Header"/>
        </w:pPr>
        <w:r>
          <w:rPr>
            <w:noProof/>
          </w:rPr>
          <w:pict w14:anchorId="1F5FF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2BFD"/>
    <w:multiLevelType w:val="hybridMultilevel"/>
    <w:tmpl w:val="7D8024A0"/>
    <w:lvl w:ilvl="0" w:tplc="04090003">
      <w:start w:val="1"/>
      <w:numFmt w:val="bullet"/>
      <w:lvlText w:val="o"/>
      <w:lvlJc w:val="left"/>
      <w:pPr>
        <w:ind w:left="1080" w:hanging="360"/>
      </w:pPr>
      <w:rPr>
        <w:rFonts w:ascii="Courier New" w:hAnsi="Courier New" w:cs="Courier New" w:hint="default"/>
        <w:b w:val="0"/>
        <w:i w:val="0"/>
        <w:sz w:val="16"/>
        <w:szCs w:val="16"/>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002BAD"/>
    <w:multiLevelType w:val="hybridMultilevel"/>
    <w:tmpl w:val="87C6568A"/>
    <w:lvl w:ilvl="0" w:tplc="2B560F2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85C63"/>
    <w:multiLevelType w:val="hybridMultilevel"/>
    <w:tmpl w:val="275E9674"/>
    <w:lvl w:ilvl="0" w:tplc="04090003">
      <w:start w:val="1"/>
      <w:numFmt w:val="bullet"/>
      <w:lvlText w:val="o"/>
      <w:lvlJc w:val="left"/>
      <w:pPr>
        <w:ind w:left="0" w:hanging="360"/>
      </w:pPr>
      <w:rPr>
        <w:rFonts w:ascii="Courier New" w:hAnsi="Courier New" w:cs="Courier New" w:hint="default"/>
        <w:b w:val="0"/>
        <w:i w:val="0"/>
        <w:sz w:val="16"/>
        <w:szCs w:val="16"/>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DD2B04"/>
    <w:multiLevelType w:val="hybridMultilevel"/>
    <w:tmpl w:val="D5E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A79"/>
    <w:multiLevelType w:val="hybridMultilevel"/>
    <w:tmpl w:val="2E48C888"/>
    <w:lvl w:ilvl="0" w:tplc="CA1C14AA">
      <w:start w:val="1"/>
      <w:numFmt w:val="decimal"/>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221E4"/>
    <w:multiLevelType w:val="hybridMultilevel"/>
    <w:tmpl w:val="1AC097DC"/>
    <w:lvl w:ilvl="0" w:tplc="2B560F28">
      <w:start w:val="1"/>
      <w:numFmt w:val="bullet"/>
      <w:lvlText w:val=""/>
      <w:lvlJc w:val="left"/>
      <w:pPr>
        <w:ind w:left="1440" w:hanging="360"/>
      </w:pPr>
      <w:rPr>
        <w:rFonts w:ascii="Symbol" w:hAnsi="Symbol" w:hint="default"/>
        <w:b w:val="0"/>
        <w:i w:val="0"/>
        <w:sz w:val="24"/>
        <w:szCs w:val="24"/>
      </w:rPr>
    </w:lvl>
    <w:lvl w:ilvl="1" w:tplc="FFFFFFFF">
      <w:start w:val="1"/>
      <w:numFmt w:val="bullet"/>
      <w:lvlText w:val="o"/>
      <w:lvlJc w:val="left"/>
      <w:pPr>
        <w:tabs>
          <w:tab w:val="num" w:pos="2520"/>
        </w:tabs>
        <w:ind w:left="2520" w:hanging="360"/>
      </w:pPr>
      <w:rPr>
        <w:rFonts w:ascii="Courier New" w:hAnsi="Courier New" w:cs="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A926B0"/>
    <w:multiLevelType w:val="hybridMultilevel"/>
    <w:tmpl w:val="B66A74D4"/>
    <w:lvl w:ilvl="0" w:tplc="2B560F28">
      <w:start w:val="1"/>
      <w:numFmt w:val="bullet"/>
      <w:lvlText w:val=""/>
      <w:lvlJc w:val="left"/>
      <w:pPr>
        <w:ind w:left="1800" w:hanging="360"/>
      </w:pPr>
      <w:rPr>
        <w:rFonts w:ascii="Symbol" w:hAnsi="Symbol" w:hint="default"/>
        <w:b w:val="0"/>
        <w:i w:val="0"/>
        <w:sz w:val="24"/>
        <w:szCs w:val="24"/>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5DA6F04"/>
    <w:multiLevelType w:val="hybridMultilevel"/>
    <w:tmpl w:val="2A3ED8E2"/>
    <w:lvl w:ilvl="0" w:tplc="1F0085A2">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444A3"/>
    <w:multiLevelType w:val="hybridMultilevel"/>
    <w:tmpl w:val="267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57C86"/>
    <w:multiLevelType w:val="hybridMultilevel"/>
    <w:tmpl w:val="EA323CDE"/>
    <w:lvl w:ilvl="0" w:tplc="2B560F2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E5483"/>
    <w:multiLevelType w:val="hybridMultilevel"/>
    <w:tmpl w:val="88EC6B92"/>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374A9B"/>
    <w:multiLevelType w:val="hybridMultilevel"/>
    <w:tmpl w:val="FCB40A2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EA324632">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 w15:restartNumberingAfterBreak="0">
    <w:nsid w:val="2B825A4A"/>
    <w:multiLevelType w:val="hybridMultilevel"/>
    <w:tmpl w:val="27125CEE"/>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9872E7"/>
    <w:multiLevelType w:val="hybridMultilevel"/>
    <w:tmpl w:val="25802A1C"/>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237FA8"/>
    <w:multiLevelType w:val="hybridMultilevel"/>
    <w:tmpl w:val="45E25DD6"/>
    <w:lvl w:ilvl="0" w:tplc="2B560F28">
      <w:start w:val="1"/>
      <w:numFmt w:val="bullet"/>
      <w:lvlText w:val=""/>
      <w:lvlJc w:val="left"/>
      <w:pPr>
        <w:ind w:left="720" w:hanging="360"/>
      </w:pPr>
      <w:rPr>
        <w:rFonts w:ascii="Symbol" w:hAnsi="Symbol" w:hint="default"/>
        <w:b w:val="0"/>
        <w:i w:val="0"/>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3A46400"/>
    <w:multiLevelType w:val="hybridMultilevel"/>
    <w:tmpl w:val="526688EC"/>
    <w:lvl w:ilvl="0" w:tplc="2B560F2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C250E"/>
    <w:multiLevelType w:val="hybridMultilevel"/>
    <w:tmpl w:val="A9D60EA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700" w:hanging="360"/>
      </w:pPr>
      <w:rPr>
        <w:rFonts w:ascii="Courier New" w:hAnsi="Courier New" w:cs="Courier New" w:hint="default"/>
      </w:rPr>
    </w:lvl>
    <w:lvl w:ilvl="3" w:tplc="FFFFFFF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7" w15:restartNumberingAfterBreak="0">
    <w:nsid w:val="363A07E2"/>
    <w:multiLevelType w:val="hybridMultilevel"/>
    <w:tmpl w:val="C1E85248"/>
    <w:lvl w:ilvl="0" w:tplc="2B560F28">
      <w:start w:val="1"/>
      <w:numFmt w:val="bullet"/>
      <w:lvlText w:val=""/>
      <w:lvlJc w:val="left"/>
      <w:pPr>
        <w:ind w:left="1440" w:hanging="360"/>
      </w:pPr>
      <w:rPr>
        <w:rFonts w:ascii="Symbol" w:hAnsi="Symbol" w:hint="default"/>
        <w:b w:val="0"/>
        <w:i w:val="0"/>
        <w:sz w:val="24"/>
        <w:szCs w:val="24"/>
      </w:rPr>
    </w:lvl>
    <w:lvl w:ilvl="1" w:tplc="FFFFFFFF">
      <w:start w:val="1"/>
      <w:numFmt w:val="bullet"/>
      <w:lvlText w:val="o"/>
      <w:lvlJc w:val="left"/>
      <w:pPr>
        <w:tabs>
          <w:tab w:val="num" w:pos="2520"/>
        </w:tabs>
        <w:ind w:left="2520" w:hanging="360"/>
      </w:pPr>
      <w:rPr>
        <w:rFonts w:ascii="Courier New" w:hAnsi="Courier New" w:cs="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68263C4"/>
    <w:multiLevelType w:val="hybridMultilevel"/>
    <w:tmpl w:val="5D5612C0"/>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DA1AAE"/>
    <w:multiLevelType w:val="hybridMultilevel"/>
    <w:tmpl w:val="957C6580"/>
    <w:lvl w:ilvl="0" w:tplc="2B560F2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27552"/>
    <w:multiLevelType w:val="hybridMultilevel"/>
    <w:tmpl w:val="FF587E36"/>
    <w:lvl w:ilvl="0" w:tplc="2B560F28">
      <w:start w:val="1"/>
      <w:numFmt w:val="bullet"/>
      <w:lvlText w:val=""/>
      <w:lvlJc w:val="left"/>
      <w:pPr>
        <w:ind w:left="1440" w:hanging="360"/>
      </w:pPr>
      <w:rPr>
        <w:rFonts w:ascii="Symbol" w:hAnsi="Symbol" w:hint="default"/>
        <w:b w:val="0"/>
        <w:i w:val="0"/>
        <w:sz w:val="24"/>
        <w:szCs w:val="24"/>
      </w:rPr>
    </w:lvl>
    <w:lvl w:ilvl="1" w:tplc="FFFFFFFF">
      <w:start w:val="1"/>
      <w:numFmt w:val="bullet"/>
      <w:lvlText w:val="o"/>
      <w:lvlJc w:val="left"/>
      <w:pPr>
        <w:tabs>
          <w:tab w:val="num" w:pos="2520"/>
        </w:tabs>
        <w:ind w:left="2520" w:hanging="360"/>
      </w:pPr>
      <w:rPr>
        <w:rFonts w:ascii="Courier New" w:hAnsi="Courier New" w:cs="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D371BBE"/>
    <w:multiLevelType w:val="hybridMultilevel"/>
    <w:tmpl w:val="FD961574"/>
    <w:lvl w:ilvl="0" w:tplc="2B560F28">
      <w:start w:val="1"/>
      <w:numFmt w:val="bullet"/>
      <w:lvlText w:val=""/>
      <w:lvlJc w:val="left"/>
      <w:pPr>
        <w:ind w:left="1800" w:hanging="360"/>
      </w:pPr>
      <w:rPr>
        <w:rFonts w:ascii="Symbol" w:hAnsi="Symbol" w:hint="default"/>
        <w:b w:val="0"/>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F6359E"/>
    <w:multiLevelType w:val="hybridMultilevel"/>
    <w:tmpl w:val="1196F140"/>
    <w:lvl w:ilvl="0" w:tplc="2B560F28">
      <w:start w:val="1"/>
      <w:numFmt w:val="bullet"/>
      <w:pStyle w:val="BULLETS"/>
      <w:lvlText w:val=""/>
      <w:lvlJc w:val="left"/>
      <w:pPr>
        <w:ind w:left="720" w:hanging="360"/>
      </w:pPr>
      <w:rPr>
        <w:rFonts w:ascii="Symbol" w:hAnsi="Symbol" w:hint="default"/>
        <w:b w:val="0"/>
        <w:i w:val="0"/>
        <w:sz w:val="24"/>
        <w:szCs w:val="24"/>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966035"/>
    <w:multiLevelType w:val="hybridMultilevel"/>
    <w:tmpl w:val="7BB676AE"/>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F06A40"/>
    <w:multiLevelType w:val="hybridMultilevel"/>
    <w:tmpl w:val="5582ED80"/>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B52A03"/>
    <w:multiLevelType w:val="hybridMultilevel"/>
    <w:tmpl w:val="22988EDA"/>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516D91"/>
    <w:multiLevelType w:val="hybridMultilevel"/>
    <w:tmpl w:val="3DF06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05088"/>
    <w:multiLevelType w:val="hybridMultilevel"/>
    <w:tmpl w:val="8A904218"/>
    <w:lvl w:ilvl="0" w:tplc="04090003">
      <w:start w:val="1"/>
      <w:numFmt w:val="bullet"/>
      <w:lvlText w:val="o"/>
      <w:lvlJc w:val="left"/>
      <w:pPr>
        <w:ind w:left="720" w:hanging="360"/>
      </w:pPr>
      <w:rPr>
        <w:rFonts w:ascii="Courier New" w:hAnsi="Courier New" w:cs="Courier New"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7930F5"/>
    <w:multiLevelType w:val="hybridMultilevel"/>
    <w:tmpl w:val="B47C8A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5DF260C"/>
    <w:multiLevelType w:val="hybridMultilevel"/>
    <w:tmpl w:val="D60054AC"/>
    <w:lvl w:ilvl="0" w:tplc="2B560F28">
      <w:start w:val="1"/>
      <w:numFmt w:val="bullet"/>
      <w:lvlText w:val=""/>
      <w:lvlJc w:val="left"/>
      <w:pPr>
        <w:ind w:left="1530" w:hanging="360"/>
      </w:pPr>
      <w:rPr>
        <w:rFonts w:ascii="Symbol" w:hAnsi="Symbol" w:hint="default"/>
        <w:b w:val="0"/>
        <w:i w:val="0"/>
        <w:sz w:val="24"/>
        <w:szCs w:val="24"/>
      </w:rPr>
    </w:lvl>
    <w:lvl w:ilvl="1" w:tplc="FFFFFFFF">
      <w:start w:val="1"/>
      <w:numFmt w:val="bullet"/>
      <w:lvlText w:val="o"/>
      <w:lvlJc w:val="left"/>
      <w:pPr>
        <w:tabs>
          <w:tab w:val="num" w:pos="2610"/>
        </w:tabs>
        <w:ind w:left="2610" w:hanging="360"/>
      </w:pPr>
      <w:rPr>
        <w:rFonts w:ascii="Courier New" w:hAnsi="Courier New" w:cs="Symbol" w:hint="default"/>
      </w:rPr>
    </w:lvl>
    <w:lvl w:ilvl="2" w:tplc="FFFFFFFF">
      <w:start w:val="1"/>
      <w:numFmt w:val="bullet"/>
      <w:lvlText w:val=""/>
      <w:lvlJc w:val="left"/>
      <w:pPr>
        <w:tabs>
          <w:tab w:val="num" w:pos="3330"/>
        </w:tabs>
        <w:ind w:left="3330" w:hanging="360"/>
      </w:pPr>
      <w:rPr>
        <w:rFonts w:ascii="Wingdings" w:hAnsi="Wingdings" w:hint="default"/>
      </w:rPr>
    </w:lvl>
    <w:lvl w:ilvl="3" w:tplc="FFFFFFFF" w:tentative="1">
      <w:start w:val="1"/>
      <w:numFmt w:val="bullet"/>
      <w:lvlText w:val=""/>
      <w:lvlJc w:val="left"/>
      <w:pPr>
        <w:tabs>
          <w:tab w:val="num" w:pos="4050"/>
        </w:tabs>
        <w:ind w:left="4050" w:hanging="360"/>
      </w:pPr>
      <w:rPr>
        <w:rFonts w:ascii="Symbol" w:hAnsi="Symbol" w:hint="default"/>
      </w:rPr>
    </w:lvl>
    <w:lvl w:ilvl="4" w:tplc="FFFFFFFF" w:tentative="1">
      <w:start w:val="1"/>
      <w:numFmt w:val="bullet"/>
      <w:lvlText w:val="o"/>
      <w:lvlJc w:val="left"/>
      <w:pPr>
        <w:tabs>
          <w:tab w:val="num" w:pos="4770"/>
        </w:tabs>
        <w:ind w:left="4770" w:hanging="360"/>
      </w:pPr>
      <w:rPr>
        <w:rFonts w:ascii="Courier New" w:hAnsi="Courier New" w:cs="Symbol" w:hint="default"/>
      </w:rPr>
    </w:lvl>
    <w:lvl w:ilvl="5" w:tplc="FFFFFFFF" w:tentative="1">
      <w:start w:val="1"/>
      <w:numFmt w:val="bullet"/>
      <w:lvlText w:val=""/>
      <w:lvlJc w:val="left"/>
      <w:pPr>
        <w:tabs>
          <w:tab w:val="num" w:pos="5490"/>
        </w:tabs>
        <w:ind w:left="5490" w:hanging="360"/>
      </w:pPr>
      <w:rPr>
        <w:rFonts w:ascii="Wingdings" w:hAnsi="Wingdings" w:hint="default"/>
      </w:rPr>
    </w:lvl>
    <w:lvl w:ilvl="6" w:tplc="FFFFFFFF" w:tentative="1">
      <w:start w:val="1"/>
      <w:numFmt w:val="bullet"/>
      <w:lvlText w:val=""/>
      <w:lvlJc w:val="left"/>
      <w:pPr>
        <w:tabs>
          <w:tab w:val="num" w:pos="6210"/>
        </w:tabs>
        <w:ind w:left="6210" w:hanging="360"/>
      </w:pPr>
      <w:rPr>
        <w:rFonts w:ascii="Symbol" w:hAnsi="Symbol" w:hint="default"/>
      </w:rPr>
    </w:lvl>
    <w:lvl w:ilvl="7" w:tplc="FFFFFFFF" w:tentative="1">
      <w:start w:val="1"/>
      <w:numFmt w:val="bullet"/>
      <w:lvlText w:val="o"/>
      <w:lvlJc w:val="left"/>
      <w:pPr>
        <w:tabs>
          <w:tab w:val="num" w:pos="6930"/>
        </w:tabs>
        <w:ind w:left="6930" w:hanging="360"/>
      </w:pPr>
      <w:rPr>
        <w:rFonts w:ascii="Courier New" w:hAnsi="Courier New" w:cs="Symbol" w:hint="default"/>
      </w:rPr>
    </w:lvl>
    <w:lvl w:ilvl="8" w:tplc="FFFFFFFF" w:tentative="1">
      <w:start w:val="1"/>
      <w:numFmt w:val="bullet"/>
      <w:lvlText w:val=""/>
      <w:lvlJc w:val="left"/>
      <w:pPr>
        <w:tabs>
          <w:tab w:val="num" w:pos="7650"/>
        </w:tabs>
        <w:ind w:left="7650" w:hanging="360"/>
      </w:pPr>
      <w:rPr>
        <w:rFonts w:ascii="Wingdings" w:hAnsi="Wingdings" w:hint="default"/>
      </w:rPr>
    </w:lvl>
  </w:abstractNum>
  <w:abstractNum w:abstractNumId="30" w15:restartNumberingAfterBreak="0">
    <w:nsid w:val="573E391D"/>
    <w:multiLevelType w:val="hybridMultilevel"/>
    <w:tmpl w:val="71788066"/>
    <w:lvl w:ilvl="0" w:tplc="FFFFFFFF">
      <w:start w:val="1"/>
      <w:numFmt w:val="bullet"/>
      <w:lvlText w:val=""/>
      <w:lvlJc w:val="left"/>
      <w:pPr>
        <w:tabs>
          <w:tab w:val="num" w:pos="720"/>
        </w:tabs>
        <w:ind w:left="720" w:hanging="360"/>
      </w:pPr>
      <w:rPr>
        <w:rFonts w:ascii="Symbol" w:hAnsi="Symbol" w:hint="default"/>
      </w:rPr>
    </w:lvl>
    <w:lvl w:ilvl="1" w:tplc="2B560F28">
      <w:start w:val="1"/>
      <w:numFmt w:val="bullet"/>
      <w:lvlText w:val=""/>
      <w:lvlJc w:val="left"/>
      <w:pPr>
        <w:ind w:left="1440" w:hanging="360"/>
      </w:pPr>
      <w:rPr>
        <w:rFonts w:ascii="Symbol" w:hAnsi="Symbol" w:hint="default"/>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13F73"/>
    <w:multiLevelType w:val="hybridMultilevel"/>
    <w:tmpl w:val="C8B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B1395"/>
    <w:multiLevelType w:val="hybridMultilevel"/>
    <w:tmpl w:val="B6E4C720"/>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FB2ACE"/>
    <w:multiLevelType w:val="hybridMultilevel"/>
    <w:tmpl w:val="0E007A94"/>
    <w:lvl w:ilvl="0" w:tplc="2B560F28">
      <w:start w:val="1"/>
      <w:numFmt w:val="bullet"/>
      <w:lvlText w:val=""/>
      <w:lvlJc w:val="left"/>
      <w:pPr>
        <w:ind w:left="1080" w:hanging="360"/>
      </w:pPr>
      <w:rPr>
        <w:rFonts w:ascii="Symbol" w:hAnsi="Symbol" w:hint="default"/>
        <w:b w:val="0"/>
        <w:i w:val="0"/>
        <w:sz w:val="24"/>
        <w:szCs w:val="24"/>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BAD3DF4"/>
    <w:multiLevelType w:val="hybridMultilevel"/>
    <w:tmpl w:val="68225F9E"/>
    <w:lvl w:ilvl="0" w:tplc="2B560F28">
      <w:start w:val="1"/>
      <w:numFmt w:val="bullet"/>
      <w:lvlText w:val=""/>
      <w:lvlJc w:val="left"/>
      <w:pPr>
        <w:ind w:left="1440" w:hanging="360"/>
      </w:pPr>
      <w:rPr>
        <w:rFonts w:ascii="Symbol" w:hAnsi="Symbol" w:hint="default"/>
        <w:b w:val="0"/>
        <w:i w:val="0"/>
        <w:sz w:val="24"/>
        <w:szCs w:val="24"/>
      </w:rPr>
    </w:lvl>
    <w:lvl w:ilvl="1" w:tplc="FFFFFFFF">
      <w:start w:val="1"/>
      <w:numFmt w:val="bullet"/>
      <w:lvlText w:val="o"/>
      <w:lvlJc w:val="left"/>
      <w:pPr>
        <w:tabs>
          <w:tab w:val="num" w:pos="2520"/>
        </w:tabs>
        <w:ind w:left="2520" w:hanging="360"/>
      </w:pPr>
      <w:rPr>
        <w:rFonts w:ascii="Courier New" w:hAnsi="Courier New" w:cs="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C76667A"/>
    <w:multiLevelType w:val="hybridMultilevel"/>
    <w:tmpl w:val="03F898D4"/>
    <w:lvl w:ilvl="0" w:tplc="FFFFFFFF">
      <w:start w:val="1"/>
      <w:numFmt w:val="bullet"/>
      <w:lvlText w:val=""/>
      <w:lvlJc w:val="left"/>
      <w:pPr>
        <w:ind w:left="720" w:hanging="360"/>
      </w:pPr>
      <w:rPr>
        <w:rFonts w:ascii="Symbol" w:hAnsi="Symbol" w:hint="default"/>
      </w:rPr>
    </w:lvl>
    <w:lvl w:ilvl="1" w:tplc="2B560F28">
      <w:start w:val="1"/>
      <w:numFmt w:val="bullet"/>
      <w:lvlText w:val=""/>
      <w:lvlJc w:val="left"/>
      <w:pPr>
        <w:ind w:left="1440" w:hanging="360"/>
      </w:pPr>
      <w:rPr>
        <w:rFonts w:ascii="Symbol" w:hAnsi="Symbol" w:hint="default"/>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CA144F8"/>
    <w:multiLevelType w:val="hybridMultilevel"/>
    <w:tmpl w:val="825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F18C4"/>
    <w:multiLevelType w:val="hybridMultilevel"/>
    <w:tmpl w:val="97A63EFC"/>
    <w:lvl w:ilvl="0" w:tplc="2B560F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5201F"/>
    <w:multiLevelType w:val="hybridMultilevel"/>
    <w:tmpl w:val="A776D184"/>
    <w:lvl w:ilvl="0" w:tplc="2B560F28">
      <w:start w:val="1"/>
      <w:numFmt w:val="bullet"/>
      <w:lvlText w:val=""/>
      <w:lvlJc w:val="left"/>
      <w:pPr>
        <w:ind w:left="720" w:hanging="360"/>
      </w:pPr>
      <w:rPr>
        <w:rFonts w:ascii="Symbol" w:hAnsi="Symbol" w:hint="default"/>
        <w:b w:val="0"/>
        <w:i w:val="0"/>
        <w:sz w:val="24"/>
        <w:szCs w:val="24"/>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A71BBF"/>
    <w:multiLevelType w:val="hybridMultilevel"/>
    <w:tmpl w:val="3D16C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ECE7D28"/>
    <w:multiLevelType w:val="hybridMultilevel"/>
    <w:tmpl w:val="5F1623E4"/>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44649234">
    <w:abstractNumId w:val="39"/>
  </w:num>
  <w:num w:numId="2" w16cid:durableId="1346053926">
    <w:abstractNumId w:val="31"/>
  </w:num>
  <w:num w:numId="3" w16cid:durableId="1308319295">
    <w:abstractNumId w:val="37"/>
  </w:num>
  <w:num w:numId="4" w16cid:durableId="393627379">
    <w:abstractNumId w:val="22"/>
  </w:num>
  <w:num w:numId="5" w16cid:durableId="667289720">
    <w:abstractNumId w:val="0"/>
  </w:num>
  <w:num w:numId="6" w16cid:durableId="622738236">
    <w:abstractNumId w:val="2"/>
  </w:num>
  <w:num w:numId="7" w16cid:durableId="750469637">
    <w:abstractNumId w:val="27"/>
  </w:num>
  <w:num w:numId="8" w16cid:durableId="2142142071">
    <w:abstractNumId w:val="4"/>
  </w:num>
  <w:num w:numId="9" w16cid:durableId="1917935719">
    <w:abstractNumId w:val="7"/>
  </w:num>
  <w:num w:numId="10" w16cid:durableId="299657682">
    <w:abstractNumId w:val="36"/>
  </w:num>
  <w:num w:numId="11" w16cid:durableId="599146421">
    <w:abstractNumId w:val="28"/>
  </w:num>
  <w:num w:numId="12" w16cid:durableId="694044384">
    <w:abstractNumId w:val="26"/>
  </w:num>
  <w:num w:numId="13" w16cid:durableId="183907002">
    <w:abstractNumId w:val="23"/>
  </w:num>
  <w:num w:numId="14" w16cid:durableId="1867450332">
    <w:abstractNumId w:val="24"/>
  </w:num>
  <w:num w:numId="15" w16cid:durableId="1776710543">
    <w:abstractNumId w:val="25"/>
  </w:num>
  <w:num w:numId="16" w16cid:durableId="1502046372">
    <w:abstractNumId w:val="30"/>
  </w:num>
  <w:num w:numId="17" w16cid:durableId="1703438201">
    <w:abstractNumId w:val="32"/>
  </w:num>
  <w:num w:numId="18" w16cid:durableId="1398091288">
    <w:abstractNumId w:val="13"/>
  </w:num>
  <w:num w:numId="19" w16cid:durableId="268201077">
    <w:abstractNumId w:val="12"/>
  </w:num>
  <w:num w:numId="20" w16cid:durableId="1600411074">
    <w:abstractNumId w:val="10"/>
  </w:num>
  <w:num w:numId="21" w16cid:durableId="665132135">
    <w:abstractNumId w:val="18"/>
  </w:num>
  <w:num w:numId="22" w16cid:durableId="7607789">
    <w:abstractNumId w:val="40"/>
  </w:num>
  <w:num w:numId="23" w16cid:durableId="1250194633">
    <w:abstractNumId w:val="1"/>
  </w:num>
  <w:num w:numId="24" w16cid:durableId="1936862044">
    <w:abstractNumId w:val="34"/>
  </w:num>
  <w:num w:numId="25" w16cid:durableId="677386574">
    <w:abstractNumId w:val="35"/>
  </w:num>
  <w:num w:numId="26" w16cid:durableId="491455500">
    <w:abstractNumId w:val="20"/>
  </w:num>
  <w:num w:numId="27" w16cid:durableId="1335838617">
    <w:abstractNumId w:val="29"/>
  </w:num>
  <w:num w:numId="28" w16cid:durableId="1447893883">
    <w:abstractNumId w:val="33"/>
  </w:num>
  <w:num w:numId="29" w16cid:durableId="415248118">
    <w:abstractNumId w:val="17"/>
  </w:num>
  <w:num w:numId="30" w16cid:durableId="968975906">
    <w:abstractNumId w:val="38"/>
  </w:num>
  <w:num w:numId="31" w16cid:durableId="1705323119">
    <w:abstractNumId w:val="5"/>
  </w:num>
  <w:num w:numId="32" w16cid:durableId="2125730864">
    <w:abstractNumId w:val="9"/>
  </w:num>
  <w:num w:numId="33" w16cid:durableId="1393700651">
    <w:abstractNumId w:val="19"/>
  </w:num>
  <w:num w:numId="34" w16cid:durableId="2089040373">
    <w:abstractNumId w:val="15"/>
  </w:num>
  <w:num w:numId="35" w16cid:durableId="757867212">
    <w:abstractNumId w:val="14"/>
  </w:num>
  <w:num w:numId="36" w16cid:durableId="344600769">
    <w:abstractNumId w:val="8"/>
  </w:num>
  <w:num w:numId="37" w16cid:durableId="644354115">
    <w:abstractNumId w:val="11"/>
  </w:num>
  <w:num w:numId="38" w16cid:durableId="1283607606">
    <w:abstractNumId w:val="41"/>
  </w:num>
  <w:num w:numId="39" w16cid:durableId="1667634220">
    <w:abstractNumId w:val="3"/>
  </w:num>
  <w:num w:numId="40" w16cid:durableId="1288658278">
    <w:abstractNumId w:val="16"/>
  </w:num>
  <w:num w:numId="41" w16cid:durableId="768745071">
    <w:abstractNumId w:val="42"/>
  </w:num>
  <w:num w:numId="42" w16cid:durableId="1620912081">
    <w:abstractNumId w:val="22"/>
  </w:num>
  <w:num w:numId="43" w16cid:durableId="1085300885">
    <w:abstractNumId w:val="22"/>
  </w:num>
  <w:num w:numId="44" w16cid:durableId="882059044">
    <w:abstractNumId w:val="21"/>
  </w:num>
  <w:num w:numId="45" w16cid:durableId="14755638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C6B4E"/>
    <w:rsid w:val="00004A6A"/>
    <w:rsid w:val="00006C59"/>
    <w:rsid w:val="00007861"/>
    <w:rsid w:val="00014447"/>
    <w:rsid w:val="00017B6F"/>
    <w:rsid w:val="00042A9B"/>
    <w:rsid w:val="000438EA"/>
    <w:rsid w:val="00045F95"/>
    <w:rsid w:val="0005558E"/>
    <w:rsid w:val="00057E28"/>
    <w:rsid w:val="00060BB3"/>
    <w:rsid w:val="0007291F"/>
    <w:rsid w:val="00074B08"/>
    <w:rsid w:val="00084D17"/>
    <w:rsid w:val="00091B58"/>
    <w:rsid w:val="00096DE6"/>
    <w:rsid w:val="000A56E6"/>
    <w:rsid w:val="000A6D77"/>
    <w:rsid w:val="000C6B4E"/>
    <w:rsid w:val="000D51E5"/>
    <w:rsid w:val="000E54DD"/>
    <w:rsid w:val="000F70A2"/>
    <w:rsid w:val="001052AC"/>
    <w:rsid w:val="0010551D"/>
    <w:rsid w:val="001177CF"/>
    <w:rsid w:val="00127C6E"/>
    <w:rsid w:val="00133576"/>
    <w:rsid w:val="00146840"/>
    <w:rsid w:val="00154D57"/>
    <w:rsid w:val="00157D94"/>
    <w:rsid w:val="00163989"/>
    <w:rsid w:val="00165025"/>
    <w:rsid w:val="001726C3"/>
    <w:rsid w:val="00191643"/>
    <w:rsid w:val="001D556B"/>
    <w:rsid w:val="001E165E"/>
    <w:rsid w:val="002043C1"/>
    <w:rsid w:val="00227379"/>
    <w:rsid w:val="00230F86"/>
    <w:rsid w:val="00236980"/>
    <w:rsid w:val="00240218"/>
    <w:rsid w:val="00240641"/>
    <w:rsid w:val="002526EA"/>
    <w:rsid w:val="002618EF"/>
    <w:rsid w:val="00261F08"/>
    <w:rsid w:val="0027696A"/>
    <w:rsid w:val="002A0751"/>
    <w:rsid w:val="002A5D45"/>
    <w:rsid w:val="002A6467"/>
    <w:rsid w:val="002A7365"/>
    <w:rsid w:val="002B05E9"/>
    <w:rsid w:val="002B0847"/>
    <w:rsid w:val="002B4BD9"/>
    <w:rsid w:val="002B4EA6"/>
    <w:rsid w:val="002C7A9B"/>
    <w:rsid w:val="002D2358"/>
    <w:rsid w:val="002E66AC"/>
    <w:rsid w:val="002F6CEE"/>
    <w:rsid w:val="003076CC"/>
    <w:rsid w:val="00311413"/>
    <w:rsid w:val="0031321F"/>
    <w:rsid w:val="00323836"/>
    <w:rsid w:val="00331E3D"/>
    <w:rsid w:val="0033541F"/>
    <w:rsid w:val="00360292"/>
    <w:rsid w:val="00361968"/>
    <w:rsid w:val="003657F6"/>
    <w:rsid w:val="00367CB1"/>
    <w:rsid w:val="00372D08"/>
    <w:rsid w:val="00374999"/>
    <w:rsid w:val="003D0E80"/>
    <w:rsid w:val="003D4D0C"/>
    <w:rsid w:val="003D6D03"/>
    <w:rsid w:val="003E673C"/>
    <w:rsid w:val="003F5B16"/>
    <w:rsid w:val="00404678"/>
    <w:rsid w:val="00413BE0"/>
    <w:rsid w:val="00415713"/>
    <w:rsid w:val="00415E7E"/>
    <w:rsid w:val="004166B2"/>
    <w:rsid w:val="00421ACE"/>
    <w:rsid w:val="00425E3C"/>
    <w:rsid w:val="00430137"/>
    <w:rsid w:val="00446814"/>
    <w:rsid w:val="00451611"/>
    <w:rsid w:val="004560EC"/>
    <w:rsid w:val="00462017"/>
    <w:rsid w:val="00470FF4"/>
    <w:rsid w:val="004809D5"/>
    <w:rsid w:val="004821CD"/>
    <w:rsid w:val="00492EE6"/>
    <w:rsid w:val="004A6224"/>
    <w:rsid w:val="004B4261"/>
    <w:rsid w:val="004C1AE7"/>
    <w:rsid w:val="004C5C4B"/>
    <w:rsid w:val="004D56ED"/>
    <w:rsid w:val="004E187B"/>
    <w:rsid w:val="004F0463"/>
    <w:rsid w:val="004F0E7F"/>
    <w:rsid w:val="005022A1"/>
    <w:rsid w:val="00510024"/>
    <w:rsid w:val="00526DFF"/>
    <w:rsid w:val="00535FBA"/>
    <w:rsid w:val="005379D7"/>
    <w:rsid w:val="005428DB"/>
    <w:rsid w:val="00554A46"/>
    <w:rsid w:val="0055657C"/>
    <w:rsid w:val="00574C8E"/>
    <w:rsid w:val="00593159"/>
    <w:rsid w:val="005A03CA"/>
    <w:rsid w:val="005A5B2B"/>
    <w:rsid w:val="005B72F0"/>
    <w:rsid w:val="005C53CA"/>
    <w:rsid w:val="005C6648"/>
    <w:rsid w:val="005D5FCC"/>
    <w:rsid w:val="005D7F48"/>
    <w:rsid w:val="005E2617"/>
    <w:rsid w:val="005F4682"/>
    <w:rsid w:val="00604F44"/>
    <w:rsid w:val="00621055"/>
    <w:rsid w:val="00626B8A"/>
    <w:rsid w:val="00632346"/>
    <w:rsid w:val="00632CB3"/>
    <w:rsid w:val="00635FBF"/>
    <w:rsid w:val="006364EB"/>
    <w:rsid w:val="0064619E"/>
    <w:rsid w:val="00653FB1"/>
    <w:rsid w:val="00661D5B"/>
    <w:rsid w:val="0066555C"/>
    <w:rsid w:val="00681F35"/>
    <w:rsid w:val="00693499"/>
    <w:rsid w:val="006B1540"/>
    <w:rsid w:val="006D0740"/>
    <w:rsid w:val="006D0C69"/>
    <w:rsid w:val="006F0BD6"/>
    <w:rsid w:val="006F2867"/>
    <w:rsid w:val="006F4153"/>
    <w:rsid w:val="00703DA6"/>
    <w:rsid w:val="007112E1"/>
    <w:rsid w:val="00713920"/>
    <w:rsid w:val="00715FC8"/>
    <w:rsid w:val="00717C96"/>
    <w:rsid w:val="00721B3D"/>
    <w:rsid w:val="00730183"/>
    <w:rsid w:val="00731CD8"/>
    <w:rsid w:val="007334FF"/>
    <w:rsid w:val="00733BCC"/>
    <w:rsid w:val="0073694B"/>
    <w:rsid w:val="00744C48"/>
    <w:rsid w:val="00774A56"/>
    <w:rsid w:val="00777C0C"/>
    <w:rsid w:val="007802DD"/>
    <w:rsid w:val="0078577F"/>
    <w:rsid w:val="007A45BF"/>
    <w:rsid w:val="007B71A1"/>
    <w:rsid w:val="007C0658"/>
    <w:rsid w:val="007C34B3"/>
    <w:rsid w:val="007D40F4"/>
    <w:rsid w:val="007F2231"/>
    <w:rsid w:val="00811BE9"/>
    <w:rsid w:val="0083652C"/>
    <w:rsid w:val="008458BA"/>
    <w:rsid w:val="008464CD"/>
    <w:rsid w:val="00866CF0"/>
    <w:rsid w:val="00867D83"/>
    <w:rsid w:val="00874FA1"/>
    <w:rsid w:val="00885A7E"/>
    <w:rsid w:val="008A3456"/>
    <w:rsid w:val="008A4864"/>
    <w:rsid w:val="008A75F9"/>
    <w:rsid w:val="008B0199"/>
    <w:rsid w:val="008C6CD2"/>
    <w:rsid w:val="008C7982"/>
    <w:rsid w:val="008D109D"/>
    <w:rsid w:val="008D4316"/>
    <w:rsid w:val="008E3253"/>
    <w:rsid w:val="008E769E"/>
    <w:rsid w:val="008F36DD"/>
    <w:rsid w:val="008F7212"/>
    <w:rsid w:val="009008AE"/>
    <w:rsid w:val="00900D9B"/>
    <w:rsid w:val="0090692B"/>
    <w:rsid w:val="0090789D"/>
    <w:rsid w:val="00910FFD"/>
    <w:rsid w:val="00911141"/>
    <w:rsid w:val="009176DA"/>
    <w:rsid w:val="00917817"/>
    <w:rsid w:val="00922DC8"/>
    <w:rsid w:val="00924175"/>
    <w:rsid w:val="009333F8"/>
    <w:rsid w:val="00942AD9"/>
    <w:rsid w:val="00943929"/>
    <w:rsid w:val="00946CB8"/>
    <w:rsid w:val="00947B9E"/>
    <w:rsid w:val="009679C4"/>
    <w:rsid w:val="009768FD"/>
    <w:rsid w:val="00981051"/>
    <w:rsid w:val="00982047"/>
    <w:rsid w:val="009855EA"/>
    <w:rsid w:val="00993895"/>
    <w:rsid w:val="00996644"/>
    <w:rsid w:val="00996C87"/>
    <w:rsid w:val="00996EF3"/>
    <w:rsid w:val="009A13A0"/>
    <w:rsid w:val="009A1DCF"/>
    <w:rsid w:val="009B0599"/>
    <w:rsid w:val="009B541F"/>
    <w:rsid w:val="009C03F3"/>
    <w:rsid w:val="009D10AF"/>
    <w:rsid w:val="009D21B5"/>
    <w:rsid w:val="009F4A23"/>
    <w:rsid w:val="00A02E6A"/>
    <w:rsid w:val="00A03CA9"/>
    <w:rsid w:val="00A34A14"/>
    <w:rsid w:val="00A52C35"/>
    <w:rsid w:val="00A65278"/>
    <w:rsid w:val="00A667EC"/>
    <w:rsid w:val="00A83511"/>
    <w:rsid w:val="00A965D5"/>
    <w:rsid w:val="00AB0E73"/>
    <w:rsid w:val="00AC01FE"/>
    <w:rsid w:val="00AC56BF"/>
    <w:rsid w:val="00AD2A26"/>
    <w:rsid w:val="00AE58DA"/>
    <w:rsid w:val="00B03866"/>
    <w:rsid w:val="00B06249"/>
    <w:rsid w:val="00B0653A"/>
    <w:rsid w:val="00B16DFB"/>
    <w:rsid w:val="00B26EEA"/>
    <w:rsid w:val="00B33BC4"/>
    <w:rsid w:val="00B515A6"/>
    <w:rsid w:val="00B80DCE"/>
    <w:rsid w:val="00B80E60"/>
    <w:rsid w:val="00B81C91"/>
    <w:rsid w:val="00B8291A"/>
    <w:rsid w:val="00BA76B7"/>
    <w:rsid w:val="00BA7D12"/>
    <w:rsid w:val="00BE4798"/>
    <w:rsid w:val="00BF2A97"/>
    <w:rsid w:val="00BF3882"/>
    <w:rsid w:val="00C00D89"/>
    <w:rsid w:val="00C07980"/>
    <w:rsid w:val="00C07A06"/>
    <w:rsid w:val="00C15EAF"/>
    <w:rsid w:val="00C46CE4"/>
    <w:rsid w:val="00C60D95"/>
    <w:rsid w:val="00C62AC2"/>
    <w:rsid w:val="00C667EB"/>
    <w:rsid w:val="00C72AAB"/>
    <w:rsid w:val="00C7489A"/>
    <w:rsid w:val="00C90ABD"/>
    <w:rsid w:val="00CA2C97"/>
    <w:rsid w:val="00CC07DC"/>
    <w:rsid w:val="00CC3916"/>
    <w:rsid w:val="00CC3964"/>
    <w:rsid w:val="00CC4705"/>
    <w:rsid w:val="00CE40A6"/>
    <w:rsid w:val="00D01390"/>
    <w:rsid w:val="00D15E10"/>
    <w:rsid w:val="00D17F26"/>
    <w:rsid w:val="00D411AD"/>
    <w:rsid w:val="00D525F6"/>
    <w:rsid w:val="00D57367"/>
    <w:rsid w:val="00D6432D"/>
    <w:rsid w:val="00D66FAA"/>
    <w:rsid w:val="00D67BF3"/>
    <w:rsid w:val="00D67FD5"/>
    <w:rsid w:val="00D71DC7"/>
    <w:rsid w:val="00D72D7C"/>
    <w:rsid w:val="00D754F8"/>
    <w:rsid w:val="00D82142"/>
    <w:rsid w:val="00DA419C"/>
    <w:rsid w:val="00DB656A"/>
    <w:rsid w:val="00DC3C6E"/>
    <w:rsid w:val="00DD241C"/>
    <w:rsid w:val="00DE2EB4"/>
    <w:rsid w:val="00DE6E8E"/>
    <w:rsid w:val="00DE7123"/>
    <w:rsid w:val="00DF1BE7"/>
    <w:rsid w:val="00E001A0"/>
    <w:rsid w:val="00E13177"/>
    <w:rsid w:val="00E22EF9"/>
    <w:rsid w:val="00E24DBB"/>
    <w:rsid w:val="00E43004"/>
    <w:rsid w:val="00E44516"/>
    <w:rsid w:val="00E44642"/>
    <w:rsid w:val="00E5477B"/>
    <w:rsid w:val="00E63016"/>
    <w:rsid w:val="00E96FD1"/>
    <w:rsid w:val="00ED229C"/>
    <w:rsid w:val="00ED5C98"/>
    <w:rsid w:val="00EE44A9"/>
    <w:rsid w:val="00EF022E"/>
    <w:rsid w:val="00F062AF"/>
    <w:rsid w:val="00F117E4"/>
    <w:rsid w:val="00F13231"/>
    <w:rsid w:val="00F134B0"/>
    <w:rsid w:val="00F13664"/>
    <w:rsid w:val="00F32CAD"/>
    <w:rsid w:val="00F532DA"/>
    <w:rsid w:val="00F54366"/>
    <w:rsid w:val="00F54DE1"/>
    <w:rsid w:val="00F604D5"/>
    <w:rsid w:val="00F72E74"/>
    <w:rsid w:val="00F829FD"/>
    <w:rsid w:val="00F8388D"/>
    <w:rsid w:val="00F852D0"/>
    <w:rsid w:val="00F8604A"/>
    <w:rsid w:val="00F9144C"/>
    <w:rsid w:val="00F92DDD"/>
    <w:rsid w:val="00FA2C32"/>
    <w:rsid w:val="00FC2A4C"/>
    <w:rsid w:val="00FC7B42"/>
    <w:rsid w:val="00FE1D0D"/>
    <w:rsid w:val="00FE6E46"/>
    <w:rsid w:val="00FF0B7E"/>
    <w:rsid w:val="00F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48FF"/>
  <w15:docId w15:val="{AE75E583-A276-42CB-8538-D6F5D218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E1"/>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C6B4E"/>
    <w:pPr>
      <w:keepNext/>
      <w:jc w:val="center"/>
      <w:outlineLvl w:val="0"/>
    </w:pPr>
    <w:rPr>
      <w:b/>
      <w:bCs/>
      <w:sz w:val="40"/>
      <w:szCs w:val="32"/>
      <w:u w:val="single"/>
    </w:rPr>
  </w:style>
  <w:style w:type="paragraph" w:styleId="Heading2">
    <w:name w:val="heading 2"/>
    <w:basedOn w:val="Normal"/>
    <w:next w:val="Normal"/>
    <w:link w:val="Heading2Char"/>
    <w:qFormat/>
    <w:rsid w:val="000C6B4E"/>
    <w:pPr>
      <w:keepNext/>
      <w:outlineLvl w:val="1"/>
    </w:pPr>
    <w:rPr>
      <w:rFonts w:cs="Arial"/>
      <w:b/>
      <w:bCs/>
      <w:iCs/>
      <w:sz w:val="28"/>
      <w:szCs w:val="28"/>
      <w:u w:val="single"/>
    </w:rPr>
  </w:style>
  <w:style w:type="paragraph" w:styleId="Heading3">
    <w:name w:val="heading 3"/>
    <w:basedOn w:val="Normal"/>
    <w:next w:val="Normal"/>
    <w:link w:val="Heading3Char"/>
    <w:semiHidden/>
    <w:unhideWhenUsed/>
    <w:qFormat/>
    <w:rsid w:val="000C6B4E"/>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qFormat/>
    <w:rsid w:val="000C6B4E"/>
    <w:pPr>
      <w:keepNext/>
      <w:pBdr>
        <w:bottom w:val="single" w:sz="4" w:space="0" w:color="auto"/>
      </w:pBdr>
      <w:jc w:val="center"/>
      <w:outlineLvl w:val="4"/>
    </w:pPr>
    <w:rPr>
      <w:b/>
      <w:sz w:val="40"/>
      <w:szCs w:val="40"/>
    </w:rPr>
  </w:style>
  <w:style w:type="paragraph" w:styleId="Heading6">
    <w:name w:val="heading 6"/>
    <w:basedOn w:val="Normal"/>
    <w:next w:val="Normal"/>
    <w:link w:val="Heading6Char"/>
    <w:qFormat/>
    <w:rsid w:val="000C6B4E"/>
    <w:pPr>
      <w:keepNext/>
      <w:outlineLvl w:val="5"/>
    </w:pPr>
    <w:rPr>
      <w:b/>
      <w:sz w:val="28"/>
      <w:szCs w:val="28"/>
    </w:rPr>
  </w:style>
  <w:style w:type="paragraph" w:styleId="Heading7">
    <w:name w:val="heading 7"/>
    <w:basedOn w:val="Normal"/>
    <w:next w:val="Normal"/>
    <w:link w:val="Heading7Char"/>
    <w:qFormat/>
    <w:rsid w:val="000C6B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B4E"/>
    <w:rPr>
      <w:rFonts w:ascii="Arial" w:eastAsia="Times New Roman" w:hAnsi="Arial" w:cs="Times New Roman"/>
      <w:b/>
      <w:bCs/>
      <w:sz w:val="40"/>
      <w:szCs w:val="32"/>
      <w:u w:val="single"/>
    </w:rPr>
  </w:style>
  <w:style w:type="character" w:customStyle="1" w:styleId="Heading2Char">
    <w:name w:val="Heading 2 Char"/>
    <w:basedOn w:val="DefaultParagraphFont"/>
    <w:link w:val="Heading2"/>
    <w:rsid w:val="000C6B4E"/>
    <w:rPr>
      <w:rFonts w:ascii="Arial" w:eastAsia="Times New Roman" w:hAnsi="Arial" w:cs="Arial"/>
      <w:b/>
      <w:bCs/>
      <w:iCs/>
      <w:sz w:val="28"/>
      <w:szCs w:val="28"/>
      <w:u w:val="single"/>
    </w:rPr>
  </w:style>
  <w:style w:type="character" w:customStyle="1" w:styleId="Heading3Char">
    <w:name w:val="Heading 3 Char"/>
    <w:basedOn w:val="DefaultParagraphFont"/>
    <w:link w:val="Heading3"/>
    <w:semiHidden/>
    <w:rsid w:val="000C6B4E"/>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C6B4E"/>
    <w:rPr>
      <w:rFonts w:ascii="Times New Roman" w:eastAsia="Times New Roman" w:hAnsi="Times New Roman" w:cs="Times New Roman"/>
      <w:b/>
      <w:sz w:val="40"/>
      <w:szCs w:val="40"/>
    </w:rPr>
  </w:style>
  <w:style w:type="character" w:customStyle="1" w:styleId="Heading6Char">
    <w:name w:val="Heading 6 Char"/>
    <w:basedOn w:val="DefaultParagraphFont"/>
    <w:link w:val="Heading6"/>
    <w:rsid w:val="000C6B4E"/>
    <w:rPr>
      <w:rFonts w:ascii="Times New Roman" w:eastAsia="Times New Roman" w:hAnsi="Times New Roman" w:cs="Times New Roman"/>
      <w:b/>
      <w:sz w:val="28"/>
      <w:szCs w:val="28"/>
    </w:rPr>
  </w:style>
  <w:style w:type="character" w:customStyle="1" w:styleId="Heading7Char">
    <w:name w:val="Heading 7 Char"/>
    <w:basedOn w:val="DefaultParagraphFont"/>
    <w:link w:val="Heading7"/>
    <w:rsid w:val="000C6B4E"/>
    <w:rPr>
      <w:rFonts w:ascii="Times New Roman" w:eastAsia="Times New Roman" w:hAnsi="Times New Roman" w:cs="Times New Roman"/>
      <w:sz w:val="24"/>
      <w:szCs w:val="24"/>
    </w:rPr>
  </w:style>
  <w:style w:type="paragraph" w:customStyle="1" w:styleId="BodyText1">
    <w:name w:val="Body Text 1"/>
    <w:basedOn w:val="Normal"/>
    <w:rsid w:val="000C6B4E"/>
    <w:pPr>
      <w:tabs>
        <w:tab w:val="left" w:pos="720"/>
      </w:tabs>
      <w:spacing w:after="180"/>
    </w:pPr>
    <w:rPr>
      <w:szCs w:val="20"/>
    </w:rPr>
  </w:style>
  <w:style w:type="paragraph" w:styleId="Header">
    <w:name w:val="header"/>
    <w:basedOn w:val="Normal"/>
    <w:link w:val="HeaderChar"/>
    <w:rsid w:val="000C6B4E"/>
    <w:pPr>
      <w:tabs>
        <w:tab w:val="center" w:pos="4320"/>
        <w:tab w:val="right" w:pos="8640"/>
      </w:tabs>
    </w:pPr>
  </w:style>
  <w:style w:type="character" w:customStyle="1" w:styleId="HeaderChar">
    <w:name w:val="Header Char"/>
    <w:basedOn w:val="DefaultParagraphFont"/>
    <w:link w:val="Header"/>
    <w:rsid w:val="000C6B4E"/>
    <w:rPr>
      <w:rFonts w:ascii="Times New Roman" w:eastAsia="Times New Roman" w:hAnsi="Times New Roman" w:cs="Times New Roman"/>
      <w:sz w:val="24"/>
      <w:szCs w:val="24"/>
    </w:rPr>
  </w:style>
  <w:style w:type="paragraph" w:styleId="Title">
    <w:name w:val="Title"/>
    <w:basedOn w:val="Normal"/>
    <w:link w:val="TitleChar"/>
    <w:qFormat/>
    <w:rsid w:val="000C6B4E"/>
    <w:pPr>
      <w:jc w:val="center"/>
    </w:pPr>
    <w:rPr>
      <w:b/>
      <w:sz w:val="52"/>
      <w:szCs w:val="52"/>
    </w:rPr>
  </w:style>
  <w:style w:type="character" w:customStyle="1" w:styleId="TitleChar">
    <w:name w:val="Title Char"/>
    <w:basedOn w:val="DefaultParagraphFont"/>
    <w:link w:val="Title"/>
    <w:rsid w:val="000C6B4E"/>
    <w:rPr>
      <w:rFonts w:ascii="Times New Roman" w:eastAsia="Times New Roman" w:hAnsi="Times New Roman" w:cs="Times New Roman"/>
      <w:b/>
      <w:sz w:val="52"/>
      <w:szCs w:val="52"/>
    </w:rPr>
  </w:style>
  <w:style w:type="paragraph" w:styleId="Subtitle">
    <w:name w:val="Subtitle"/>
    <w:basedOn w:val="Normal"/>
    <w:link w:val="SubtitleChar"/>
    <w:qFormat/>
    <w:rsid w:val="000C6B4E"/>
    <w:pPr>
      <w:jc w:val="center"/>
    </w:pPr>
    <w:rPr>
      <w:b/>
      <w:sz w:val="44"/>
      <w:szCs w:val="44"/>
    </w:rPr>
  </w:style>
  <w:style w:type="character" w:customStyle="1" w:styleId="SubtitleChar">
    <w:name w:val="Subtitle Char"/>
    <w:basedOn w:val="DefaultParagraphFont"/>
    <w:link w:val="Subtitle"/>
    <w:rsid w:val="000C6B4E"/>
    <w:rPr>
      <w:rFonts w:ascii="Times New Roman" w:eastAsia="Times New Roman" w:hAnsi="Times New Roman" w:cs="Times New Roman"/>
      <w:b/>
      <w:sz w:val="44"/>
      <w:szCs w:val="44"/>
    </w:rPr>
  </w:style>
  <w:style w:type="paragraph" w:styleId="BodyText">
    <w:name w:val="Body Text"/>
    <w:basedOn w:val="Normal"/>
    <w:link w:val="BodyTextChar"/>
    <w:rsid w:val="000C6B4E"/>
    <w:rPr>
      <w:sz w:val="28"/>
      <w:szCs w:val="28"/>
      <w:lang w:val="x-none" w:eastAsia="x-none"/>
    </w:rPr>
  </w:style>
  <w:style w:type="character" w:customStyle="1" w:styleId="BodyTextChar">
    <w:name w:val="Body Text Char"/>
    <w:basedOn w:val="DefaultParagraphFont"/>
    <w:link w:val="BodyText"/>
    <w:rsid w:val="000C6B4E"/>
    <w:rPr>
      <w:rFonts w:ascii="Times New Roman" w:eastAsia="Times New Roman" w:hAnsi="Times New Roman" w:cs="Times New Roman"/>
      <w:sz w:val="28"/>
      <w:szCs w:val="28"/>
      <w:lang w:val="x-none" w:eastAsia="x-none"/>
    </w:rPr>
  </w:style>
  <w:style w:type="table" w:styleId="TableGrid">
    <w:name w:val="Table Grid"/>
    <w:basedOn w:val="TableNormal"/>
    <w:rsid w:val="000C6B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rsid w:val="000C6B4E"/>
    <w:pPr>
      <w:numPr>
        <w:numId w:val="1"/>
      </w:numPr>
      <w:tabs>
        <w:tab w:val="left" w:pos="-720"/>
      </w:tabs>
      <w:spacing w:after="240"/>
    </w:pPr>
    <w:rPr>
      <w:szCs w:val="20"/>
    </w:rPr>
  </w:style>
  <w:style w:type="character" w:styleId="Hyperlink">
    <w:name w:val="Hyperlink"/>
    <w:uiPriority w:val="99"/>
    <w:rsid w:val="000C6B4E"/>
    <w:rPr>
      <w:color w:val="0000FF"/>
      <w:u w:val="single"/>
    </w:rPr>
  </w:style>
  <w:style w:type="paragraph" w:customStyle="1" w:styleId="BoxText">
    <w:name w:val="Box Text"/>
    <w:basedOn w:val="Normal"/>
    <w:next w:val="Normal"/>
    <w:rsid w:val="000C6B4E"/>
    <w:pPr>
      <w:tabs>
        <w:tab w:val="left" w:pos="3092"/>
      </w:tabs>
      <w:spacing w:after="120"/>
    </w:pPr>
    <w:rPr>
      <w:rFonts w:ascii="Arial Narrow" w:hAnsi="Arial Narrow"/>
      <w:szCs w:val="20"/>
    </w:rPr>
  </w:style>
  <w:style w:type="character" w:styleId="CommentReference">
    <w:name w:val="annotation reference"/>
    <w:uiPriority w:val="99"/>
    <w:semiHidden/>
    <w:rsid w:val="000C6B4E"/>
    <w:rPr>
      <w:sz w:val="16"/>
    </w:rPr>
  </w:style>
  <w:style w:type="paragraph" w:customStyle="1" w:styleId="ACDBGBODYArial11">
    <w:name w:val="A CDBG BODY Arial 11"/>
    <w:aliases w:val="14 leading"/>
    <w:basedOn w:val="BodyText"/>
    <w:qFormat/>
    <w:rsid w:val="000C6B4E"/>
    <w:pPr>
      <w:spacing w:line="280" w:lineRule="exact"/>
      <w:jc w:val="both"/>
    </w:pPr>
    <w:rPr>
      <w:rFonts w:cs="Arial"/>
      <w:sz w:val="22"/>
      <w:szCs w:val="22"/>
    </w:rPr>
  </w:style>
  <w:style w:type="paragraph" w:customStyle="1" w:styleId="Preformatted">
    <w:name w:val="Preformatted"/>
    <w:basedOn w:val="Normal"/>
    <w:rsid w:val="000C6B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Footer">
    <w:name w:val="footer"/>
    <w:basedOn w:val="Normal"/>
    <w:link w:val="FooterChar"/>
    <w:rsid w:val="000C6B4E"/>
    <w:pPr>
      <w:tabs>
        <w:tab w:val="center" w:pos="4320"/>
        <w:tab w:val="right" w:pos="8640"/>
      </w:tabs>
    </w:pPr>
    <w:rPr>
      <w:lang w:val="x-none" w:eastAsia="x-none"/>
    </w:rPr>
  </w:style>
  <w:style w:type="character" w:customStyle="1" w:styleId="FooterChar">
    <w:name w:val="Footer Char"/>
    <w:basedOn w:val="DefaultParagraphFont"/>
    <w:link w:val="Footer"/>
    <w:rsid w:val="000C6B4E"/>
    <w:rPr>
      <w:rFonts w:ascii="Times New Roman" w:eastAsia="Times New Roman" w:hAnsi="Times New Roman" w:cs="Times New Roman"/>
      <w:sz w:val="24"/>
      <w:szCs w:val="24"/>
      <w:lang w:val="x-none" w:eastAsia="x-none"/>
    </w:rPr>
  </w:style>
  <w:style w:type="character" w:styleId="PageNumber">
    <w:name w:val="page number"/>
    <w:basedOn w:val="DefaultParagraphFont"/>
    <w:rsid w:val="000C6B4E"/>
  </w:style>
  <w:style w:type="paragraph" w:styleId="NormalWeb">
    <w:name w:val="Normal (Web)"/>
    <w:basedOn w:val="Normal"/>
    <w:uiPriority w:val="99"/>
    <w:rsid w:val="000C6B4E"/>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0C6B4E"/>
    <w:pPr>
      <w:spacing w:after="120"/>
      <w:ind w:left="360"/>
    </w:pPr>
  </w:style>
  <w:style w:type="character" w:customStyle="1" w:styleId="BodyTextIndentChar">
    <w:name w:val="Body Text Indent Char"/>
    <w:basedOn w:val="DefaultParagraphFont"/>
    <w:link w:val="BodyTextIndent"/>
    <w:rsid w:val="000C6B4E"/>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0C6B4E"/>
    <w:rPr>
      <w:sz w:val="20"/>
      <w:szCs w:val="20"/>
    </w:rPr>
  </w:style>
  <w:style w:type="character" w:customStyle="1" w:styleId="CommentTextChar">
    <w:name w:val="Comment Text Char"/>
    <w:basedOn w:val="DefaultParagraphFont"/>
    <w:link w:val="CommentText"/>
    <w:uiPriority w:val="99"/>
    <w:rsid w:val="000C6B4E"/>
    <w:rPr>
      <w:rFonts w:ascii="Times New Roman" w:eastAsia="Times New Roman" w:hAnsi="Times New Roman" w:cs="Times New Roman"/>
      <w:sz w:val="20"/>
      <w:szCs w:val="20"/>
    </w:rPr>
  </w:style>
  <w:style w:type="paragraph" w:customStyle="1" w:styleId="left">
    <w:name w:val="left"/>
    <w:basedOn w:val="Normal"/>
    <w:rsid w:val="000C6B4E"/>
    <w:pPr>
      <w:spacing w:line="360" w:lineRule="atLeast"/>
    </w:pPr>
    <w:rPr>
      <w:rFonts w:ascii="Courier New" w:hAnsi="Courier New" w:cs="Courier New"/>
    </w:rPr>
  </w:style>
  <w:style w:type="character" w:customStyle="1" w:styleId="verityhit">
    <w:name w:val="verityhit"/>
    <w:basedOn w:val="DefaultParagraphFont"/>
    <w:rsid w:val="000C6B4E"/>
  </w:style>
  <w:style w:type="paragraph" w:customStyle="1" w:styleId="Default">
    <w:name w:val="Default"/>
    <w:rsid w:val="000C6B4E"/>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rsid w:val="000C6B4E"/>
    <w:rPr>
      <w:b/>
      <w:bCs/>
      <w:lang w:val="x-none" w:eastAsia="x-none"/>
    </w:rPr>
  </w:style>
  <w:style w:type="character" w:customStyle="1" w:styleId="CommentSubjectChar">
    <w:name w:val="Comment Subject Char"/>
    <w:basedOn w:val="CommentTextChar"/>
    <w:link w:val="CommentSubject"/>
    <w:rsid w:val="000C6B4E"/>
    <w:rPr>
      <w:rFonts w:ascii="Times New Roman" w:eastAsia="Times New Roman" w:hAnsi="Times New Roman" w:cs="Times New Roman"/>
      <w:b/>
      <w:bCs/>
      <w:sz w:val="20"/>
      <w:szCs w:val="20"/>
      <w:lang w:val="x-none" w:eastAsia="x-none"/>
    </w:rPr>
  </w:style>
  <w:style w:type="paragraph" w:customStyle="1" w:styleId="ColorfulList-Accent11">
    <w:name w:val="Colorful List - Accent 11"/>
    <w:basedOn w:val="Normal"/>
    <w:uiPriority w:val="34"/>
    <w:qFormat/>
    <w:rsid w:val="000C6B4E"/>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0C6B4E"/>
    <w:pPr>
      <w:spacing w:after="0" w:line="240" w:lineRule="auto"/>
    </w:pPr>
    <w:rPr>
      <w:rFonts w:ascii="Times New Roman" w:eastAsia="Times New Roman" w:hAnsi="Times New Roman" w:cs="Times New Roman"/>
      <w:sz w:val="24"/>
      <w:szCs w:val="24"/>
    </w:rPr>
  </w:style>
  <w:style w:type="character" w:styleId="FollowedHyperlink">
    <w:name w:val="FollowedHyperlink"/>
    <w:rsid w:val="000C6B4E"/>
    <w:rPr>
      <w:color w:val="800080"/>
      <w:u w:val="single"/>
    </w:rPr>
  </w:style>
  <w:style w:type="paragraph" w:customStyle="1" w:styleId="ACDGBArial20Bold">
    <w:name w:val="A CDGB Arial 20 Bold"/>
    <w:aliases w:val="U,Cen"/>
    <w:basedOn w:val="Heading1"/>
    <w:qFormat/>
    <w:rsid w:val="000C6B4E"/>
  </w:style>
  <w:style w:type="paragraph" w:styleId="ListParagraph">
    <w:name w:val="List Paragraph"/>
    <w:basedOn w:val="Normal"/>
    <w:uiPriority w:val="34"/>
    <w:qFormat/>
    <w:rsid w:val="000C6B4E"/>
    <w:pPr>
      <w:ind w:left="720"/>
    </w:pPr>
    <w:rPr>
      <w:rFonts w:ascii="Calibri" w:eastAsia="Calibri" w:hAnsi="Calibri"/>
      <w:szCs w:val="22"/>
    </w:rPr>
  </w:style>
  <w:style w:type="paragraph" w:styleId="Revision">
    <w:name w:val="Revision"/>
    <w:hidden/>
    <w:uiPriority w:val="99"/>
    <w:semiHidden/>
    <w:rsid w:val="000C6B4E"/>
    <w:pPr>
      <w:spacing w:after="0" w:line="240" w:lineRule="auto"/>
    </w:pPr>
    <w:rPr>
      <w:rFonts w:ascii="Times New Roman" w:eastAsia="Times New Roman" w:hAnsi="Times New Roman" w:cs="Times New Roman"/>
      <w:sz w:val="24"/>
      <w:szCs w:val="24"/>
    </w:rPr>
  </w:style>
  <w:style w:type="paragraph" w:customStyle="1" w:styleId="ACHAPTTITLE">
    <w:name w:val="A CHAPT TITLE"/>
    <w:aliases w:val="Arial 26,B"/>
    <w:basedOn w:val="Subtitle"/>
    <w:qFormat/>
    <w:rsid w:val="000C6B4E"/>
    <w:rPr>
      <w:rFonts w:cs="Arial"/>
      <w:sz w:val="52"/>
      <w:szCs w:val="52"/>
    </w:rPr>
  </w:style>
  <w:style w:type="paragraph" w:styleId="TOC1">
    <w:name w:val="toc 1"/>
    <w:basedOn w:val="Normal"/>
    <w:next w:val="Normal"/>
    <w:autoRedefine/>
    <w:uiPriority w:val="39"/>
    <w:rsid w:val="008B0199"/>
    <w:pPr>
      <w:tabs>
        <w:tab w:val="right" w:leader="dot" w:pos="9912"/>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681F35"/>
    <w:pPr>
      <w:tabs>
        <w:tab w:val="right" w:leader="dot" w:pos="9912"/>
      </w:tabs>
      <w:ind w:left="220"/>
    </w:pPr>
    <w:rPr>
      <w:rFonts w:asciiTheme="minorHAnsi" w:hAnsiTheme="minorHAnsi" w:cstheme="minorHAnsi"/>
      <w:smallCaps/>
      <w:sz w:val="20"/>
      <w:szCs w:val="20"/>
    </w:rPr>
  </w:style>
  <w:style w:type="character" w:customStyle="1" w:styleId="bodychar">
    <w:name w:val="body char"/>
    <w:rsid w:val="000C6B4E"/>
    <w:rPr>
      <w:sz w:val="24"/>
    </w:rPr>
  </w:style>
  <w:style w:type="paragraph" w:styleId="Index1">
    <w:name w:val="index 1"/>
    <w:basedOn w:val="Normal"/>
    <w:next w:val="Normal"/>
    <w:autoRedefine/>
    <w:uiPriority w:val="99"/>
    <w:rsid w:val="000C6B4E"/>
    <w:pPr>
      <w:ind w:left="240" w:hanging="240"/>
    </w:pPr>
  </w:style>
  <w:style w:type="character" w:styleId="UnresolvedMention">
    <w:name w:val="Unresolved Mention"/>
    <w:uiPriority w:val="99"/>
    <w:semiHidden/>
    <w:unhideWhenUsed/>
    <w:rsid w:val="000C6B4E"/>
    <w:rPr>
      <w:color w:val="605E5C"/>
      <w:shd w:val="clear" w:color="auto" w:fill="E1DFDD"/>
    </w:rPr>
  </w:style>
  <w:style w:type="paragraph" w:customStyle="1" w:styleId="BULLETS">
    <w:name w:val="• BULLETS"/>
    <w:basedOn w:val="Normal"/>
    <w:qFormat/>
    <w:rsid w:val="000C6B4E"/>
    <w:pPr>
      <w:numPr>
        <w:numId w:val="4"/>
      </w:numPr>
      <w:spacing w:line="280" w:lineRule="exact"/>
    </w:pPr>
    <w:rPr>
      <w:rFonts w:cs="Arial"/>
      <w:szCs w:val="22"/>
    </w:rPr>
  </w:style>
  <w:style w:type="paragraph" w:styleId="BalloonText">
    <w:name w:val="Balloon Text"/>
    <w:basedOn w:val="Normal"/>
    <w:link w:val="BalloonTextChar"/>
    <w:rsid w:val="000C6B4E"/>
    <w:rPr>
      <w:sz w:val="18"/>
      <w:szCs w:val="18"/>
    </w:rPr>
  </w:style>
  <w:style w:type="character" w:customStyle="1" w:styleId="BalloonTextChar">
    <w:name w:val="Balloon Text Char"/>
    <w:basedOn w:val="DefaultParagraphFont"/>
    <w:link w:val="BalloonText"/>
    <w:rsid w:val="000C6B4E"/>
    <w:rPr>
      <w:rFonts w:ascii="Times New Roman" w:eastAsia="Times New Roman" w:hAnsi="Times New Roman" w:cs="Times New Roman"/>
      <w:sz w:val="18"/>
      <w:szCs w:val="18"/>
    </w:rPr>
  </w:style>
  <w:style w:type="paragraph" w:customStyle="1" w:styleId="Arial14Bold">
    <w:name w:val="Arial 14 Bold"/>
    <w:basedOn w:val="Heading2"/>
    <w:qFormat/>
    <w:rsid w:val="000C6B4E"/>
  </w:style>
  <w:style w:type="paragraph" w:customStyle="1" w:styleId="Arial11BOLD">
    <w:name w:val="Arial 11 BOLD"/>
    <w:basedOn w:val="Normal"/>
    <w:qFormat/>
    <w:rsid w:val="000C6B4E"/>
    <w:pPr>
      <w:autoSpaceDE w:val="0"/>
      <w:autoSpaceDN w:val="0"/>
      <w:adjustRightInd w:val="0"/>
    </w:pPr>
    <w:rPr>
      <w:rFonts w:cs="Arial"/>
      <w:b/>
      <w:szCs w:val="22"/>
    </w:rPr>
  </w:style>
  <w:style w:type="character" w:styleId="Strong">
    <w:name w:val="Strong"/>
    <w:uiPriority w:val="22"/>
    <w:qFormat/>
    <w:rsid w:val="000C6B4E"/>
    <w:rPr>
      <w:b/>
      <w:bCs/>
    </w:rPr>
  </w:style>
  <w:style w:type="character" w:customStyle="1" w:styleId="apple-converted-space">
    <w:name w:val="apple-converted-space"/>
    <w:basedOn w:val="DefaultParagraphFont"/>
    <w:rsid w:val="000C6B4E"/>
  </w:style>
  <w:style w:type="paragraph" w:customStyle="1" w:styleId="14BoldArial">
    <w:name w:val="14 Bold Arial"/>
    <w:aliases w:val="Underlined"/>
    <w:basedOn w:val="Heading2"/>
    <w:qFormat/>
    <w:rsid w:val="000C6B4E"/>
    <w:pPr>
      <w:keepLines/>
      <w:jc w:val="both"/>
    </w:pPr>
    <w:rPr>
      <w:rFonts w:cs="Times New Roman"/>
      <w:iCs w:val="0"/>
      <w:szCs w:val="26"/>
    </w:rPr>
  </w:style>
  <w:style w:type="paragraph" w:customStyle="1" w:styleId="xmsonormal">
    <w:name w:val="x_msonormal"/>
    <w:basedOn w:val="Normal"/>
    <w:rsid w:val="000C6B4E"/>
    <w:rPr>
      <w:rFonts w:ascii="Calibri" w:eastAsia="Calibri" w:hAnsi="Calibri" w:cs="Calibri"/>
      <w:szCs w:val="22"/>
    </w:rPr>
  </w:style>
  <w:style w:type="paragraph" w:customStyle="1" w:styleId="xmsolistparagraph">
    <w:name w:val="x_msolistparagraph"/>
    <w:basedOn w:val="Normal"/>
    <w:rsid w:val="000C6B4E"/>
    <w:pPr>
      <w:spacing w:before="100" w:beforeAutospacing="1" w:after="100" w:afterAutospacing="1"/>
    </w:pPr>
    <w:rPr>
      <w:rFonts w:ascii="Calibri" w:eastAsia="Calibri" w:hAnsi="Calibri" w:cs="Calibri"/>
      <w:szCs w:val="22"/>
    </w:rPr>
  </w:style>
  <w:style w:type="character" w:customStyle="1" w:styleId="cf01">
    <w:name w:val="cf01"/>
    <w:basedOn w:val="DefaultParagraphFont"/>
    <w:rsid w:val="000C6B4E"/>
    <w:rPr>
      <w:rFonts w:ascii="Segoe UI" w:hAnsi="Segoe UI" w:cs="Segoe UI" w:hint="default"/>
      <w:sz w:val="18"/>
      <w:szCs w:val="18"/>
    </w:rPr>
  </w:style>
  <w:style w:type="paragraph" w:styleId="FootnoteText">
    <w:name w:val="footnote text"/>
    <w:basedOn w:val="Normal"/>
    <w:link w:val="FootnoteTextChar"/>
    <w:uiPriority w:val="99"/>
    <w:semiHidden/>
    <w:unhideWhenUsed/>
    <w:rsid w:val="00DE6E8E"/>
    <w:rPr>
      <w:sz w:val="20"/>
      <w:szCs w:val="20"/>
    </w:rPr>
  </w:style>
  <w:style w:type="character" w:customStyle="1" w:styleId="FootnoteTextChar">
    <w:name w:val="Footnote Text Char"/>
    <w:basedOn w:val="DefaultParagraphFont"/>
    <w:link w:val="FootnoteText"/>
    <w:uiPriority w:val="99"/>
    <w:semiHidden/>
    <w:rsid w:val="00DE6E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E6E8E"/>
    <w:rPr>
      <w:vertAlign w:val="superscript"/>
    </w:rPr>
  </w:style>
  <w:style w:type="paragraph" w:customStyle="1" w:styleId="1BODY-Arial11">
    <w:name w:val="1. BODY-Arial 11"/>
    <w:basedOn w:val="Normal"/>
    <w:qFormat/>
    <w:rsid w:val="00006C59"/>
    <w:pPr>
      <w:spacing w:line="280" w:lineRule="exact"/>
      <w:jc w:val="both"/>
    </w:pPr>
    <w:rPr>
      <w:rFonts w:cs="Arial"/>
      <w:color w:val="000000"/>
      <w:szCs w:val="22"/>
    </w:rPr>
  </w:style>
  <w:style w:type="paragraph" w:customStyle="1" w:styleId="4ArialBold14">
    <w:name w:val="4. Arial Bold 14"/>
    <w:basedOn w:val="Heading2"/>
    <w:qFormat/>
    <w:rsid w:val="00006C59"/>
    <w:rPr>
      <w:rFonts w:cs="Times New Roman"/>
      <w:bCs w:val="0"/>
      <w:iCs w:val="0"/>
      <w:szCs w:val="20"/>
    </w:rPr>
  </w:style>
  <w:style w:type="paragraph" w:styleId="TOC3">
    <w:name w:val="toc 3"/>
    <w:basedOn w:val="Normal"/>
    <w:next w:val="Normal"/>
    <w:autoRedefine/>
    <w:uiPriority w:val="39"/>
    <w:unhideWhenUsed/>
    <w:rsid w:val="008E769E"/>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8E769E"/>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E769E"/>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E769E"/>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E769E"/>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E769E"/>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E769E"/>
    <w:pPr>
      <w:ind w:left="1760"/>
    </w:pPr>
    <w:rPr>
      <w:rFonts w:asciiTheme="minorHAnsi" w:hAnsiTheme="minorHAnsi" w:cstheme="minorHAnsi"/>
      <w:sz w:val="18"/>
      <w:szCs w:val="18"/>
    </w:rPr>
  </w:style>
  <w:style w:type="character" w:customStyle="1" w:styleId="normaltextrun">
    <w:name w:val="normaltextrun"/>
    <w:basedOn w:val="DefaultParagraphFont"/>
    <w:rsid w:val="00B0653A"/>
  </w:style>
  <w:style w:type="paragraph" w:customStyle="1" w:styleId="psection-2">
    <w:name w:val="psection-2"/>
    <w:basedOn w:val="Normal"/>
    <w:rsid w:val="00360292"/>
    <w:pPr>
      <w:spacing w:before="100" w:beforeAutospacing="1" w:after="100" w:afterAutospacing="1"/>
    </w:pPr>
    <w:rPr>
      <w:rFonts w:ascii="Times New Roman" w:hAnsi="Times New Roman"/>
      <w:sz w:val="24"/>
    </w:rPr>
  </w:style>
  <w:style w:type="character" w:customStyle="1" w:styleId="enumxml">
    <w:name w:val="enumxml"/>
    <w:basedOn w:val="DefaultParagraphFont"/>
    <w:rsid w:val="00360292"/>
  </w:style>
  <w:style w:type="character" w:customStyle="1" w:styleId="et03">
    <w:name w:val="et03"/>
    <w:basedOn w:val="DefaultParagraphFont"/>
    <w:rsid w:val="00360292"/>
  </w:style>
  <w:style w:type="paragraph" w:customStyle="1" w:styleId="psection-3">
    <w:name w:val="psection-3"/>
    <w:basedOn w:val="Normal"/>
    <w:rsid w:val="0036029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406405">
      <w:bodyDiv w:val="1"/>
      <w:marLeft w:val="0"/>
      <w:marRight w:val="0"/>
      <w:marTop w:val="0"/>
      <w:marBottom w:val="0"/>
      <w:divBdr>
        <w:top w:val="none" w:sz="0" w:space="0" w:color="auto"/>
        <w:left w:val="none" w:sz="0" w:space="0" w:color="auto"/>
        <w:bottom w:val="none" w:sz="0" w:space="0" w:color="auto"/>
        <w:right w:val="none" w:sz="0" w:space="0" w:color="auto"/>
      </w:divBdr>
    </w:div>
    <w:div w:id="1926263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5f47e0eacc36125d40b57e3eb1927572&amp;term_occur=999&amp;term_src=Title:24:Subtitle:B:Chapter:V:Subchapter:C:Part:570:Subpart:J:570.503" TargetMode="External"/><Relationship Id="rId13" Type="http://schemas.openxmlformats.org/officeDocument/2006/relationships/hyperlink" Target="https://www.law.cornell.edu/cfr/text/2/part-200" TargetMode="External"/><Relationship Id="rId18" Type="http://schemas.openxmlformats.org/officeDocument/2006/relationships/hyperlink" Target="http://www.SAM.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exasagriculture.gov/Grants-Services/Rural-Economic-Development/Rural-Community-Development-Block-Grant-CDBG/Forms"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8ff25da56720d07d8af874230672ee7c&amp;term_occur=999&amp;term_src=Title:24:Subtitle:B:Chapter:V:Subchapter:C:Part:570:Subpart:J:570.503" TargetMode="External"/><Relationship Id="rId17" Type="http://schemas.openxmlformats.org/officeDocument/2006/relationships/hyperlink" Target="https://www.twc.texas.gov/directory-workforce-solutions-offices-services" TargetMode="External"/><Relationship Id="rId25" Type="http://schemas.openxmlformats.org/officeDocument/2006/relationships/hyperlink" Target="https://www.texasagriculture.gov/Grants-Services/Rural-Economic-Development/Rural-Community-Development-Block-Grant-CDBG/Forms" TargetMode="External"/><Relationship Id="rId2" Type="http://schemas.openxmlformats.org/officeDocument/2006/relationships/numbering" Target="numbering.xml"/><Relationship Id="rId16" Type="http://schemas.openxmlformats.org/officeDocument/2006/relationships/hyperlink" Target="https://www.twc.texas.gov/directory-workforce-solutions-offices-services" TargetMode="External"/><Relationship Id="rId20" Type="http://schemas.openxmlformats.org/officeDocument/2006/relationships/hyperlink" Target="https://www.texasagriculture.gov/Grants-Services/Rural-Economic-Development/Rural-Community-Development-Block-Grant-CDBG/For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5f47e0eacc36125d40b57e3eb1927572&amp;term_occur=999&amp;term_src=Title:24:Subtitle:B:Chapter:V:Subchapter:C:Part:570:Subpart:J:570.503" TargetMode="External"/><Relationship Id="rId24" Type="http://schemas.openxmlformats.org/officeDocument/2006/relationships/hyperlink" Target="https://www.texasagriculture.gov/Grants-Services/Rural-Economic-Development/Rural-Community-Development-Block-Grant-CDBG/Forms" TargetMode="External"/><Relationship Id="rId5" Type="http://schemas.openxmlformats.org/officeDocument/2006/relationships/webSettings" Target="webSettings.xml"/><Relationship Id="rId15" Type="http://schemas.openxmlformats.org/officeDocument/2006/relationships/hyperlink" Target="https://www.twc.texas.gov/directory-workforce-solutions-offices-services" TargetMode="External"/><Relationship Id="rId23" Type="http://schemas.openxmlformats.org/officeDocument/2006/relationships/hyperlink" Target="https://www.texasagriculture.gov/Grants-Services/Rural-Economic-Development/Rural-Community-Development-Block-Grant-CDBG/Forms" TargetMode="External"/><Relationship Id="rId28" Type="http://schemas.openxmlformats.org/officeDocument/2006/relationships/footer" Target="footer1.xml"/><Relationship Id="rId10" Type="http://schemas.openxmlformats.org/officeDocument/2006/relationships/hyperlink" Target="https://www.law.cornell.edu/definitions/index.php?width=840&amp;height=800&amp;iframe=true&amp;def_id=8ff25da56720d07d8af874230672ee7c&amp;term_occur=999&amp;term_src=Title:24:Subtitle:B:Chapter:V:Subchapter:C:Part:570:Subpart:J:570.503" TargetMode="External"/><Relationship Id="rId19" Type="http://schemas.openxmlformats.org/officeDocument/2006/relationships/hyperlink" Target="http://www.legis.state.tx.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8ff25da56720d07d8af874230672ee7c&amp;term_occur=999&amp;term_src=Title:24:Subtitle:B:Chapter:V:Subchapter:C:Part:570:Subpart:J:570.503" TargetMode="External"/><Relationship Id="rId14" Type="http://schemas.openxmlformats.org/officeDocument/2006/relationships/hyperlink" Target="https://www.texasagriculture.gov/Grants-Services/Rural-Economic-Development/Rural-Community-Development-Block-Grant-CDBG" TargetMode="External"/><Relationship Id="rId22" Type="http://schemas.openxmlformats.org/officeDocument/2006/relationships/hyperlink" Target="https://www.texasagriculture.gov/Grants-Services/Rural-Economic-Development/Rural-Community-Development-Block-Grant-CDBG/Forms"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23BB-0847-4C76-8441-E8898EBE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30</Pages>
  <Words>13124</Words>
  <Characters>80846</Characters>
  <Application>Microsoft Office Word</Application>
  <DocSecurity>0</DocSecurity>
  <Lines>2245</Lines>
  <Paragraphs>958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5.0 Introduction</vt:lpstr>
      <vt:lpstr>5.1 Procurement Procedures</vt:lpstr>
      <vt:lpstr>    5.1.1 Features of Good Procurement Systems</vt:lpstr>
      <vt:lpstr>    5.1.2 Methods of Procurement </vt:lpstr>
      <vt:lpstr>5.2 Selecting a Provider – Non-Construction Services</vt:lpstr>
      <vt:lpstr>    5.2.1 Applicability of Competitive Proposals (Administration and Professional Se</vt:lpstr>
      <vt:lpstr>    5.2.2 Step-By-Step Selection – Pre-Qualified Provider Method </vt:lpstr>
      <vt:lpstr>    5.2.3 Step-by-Step Selection Procedures for Competitive Proposal (Traditional)</vt:lpstr>
      <vt:lpstr>    5.2.4 Selection of Subrecipient Services Provider</vt:lpstr>
      <vt:lpstr>5.3 Construction Services and Materials Contracts</vt:lpstr>
      <vt:lpstr>    5.3.1 Applicability </vt:lpstr>
      <vt:lpstr>    5.3.2 Sealed Bid Procurement – Traditional Method</vt:lpstr>
      <vt:lpstr>    5.3.3 Sealed Bid Procurement – Third Party Cooperative Purchase</vt:lpstr>
      <vt:lpstr>    5.3.4 Small Purchase Procurement</vt:lpstr>
      <vt:lpstr>    5.3.5 Micro-Purchases</vt:lpstr>
      <vt:lpstr>5.4 Non-Competitive Proposal Procurement</vt:lpstr>
      <vt:lpstr>5.5 Steps for Award and Contracting</vt:lpstr>
      <vt:lpstr>    5.5.1 SAM Clearance</vt:lpstr>
      <vt:lpstr>    5.5.2 Award by Governing Body</vt:lpstr>
      <vt:lpstr>    5.5.3 Prepare and Execute Contract/Agreement</vt:lpstr>
      <vt:lpstr>    5.5.4 Workers’ Compensation Requirements</vt:lpstr>
      <vt:lpstr>    5.5.5 Bonding Information</vt:lpstr>
      <vt:lpstr>5.6 Changes to an Executed Contract</vt:lpstr>
      <vt:lpstr>    5.6.1 Change Orders</vt:lpstr>
      <vt:lpstr>    5.6.2 Performance Bond Claims and Assignment to New Contractor </vt:lpstr>
      <vt:lpstr>5.7 Recordkeeping Procedures</vt:lpstr>
      <vt:lpstr>    5.7.1 Local Records</vt:lpstr>
      <vt:lpstr>    5.7.2 Micro-purchases</vt:lpstr>
      <vt:lpstr>    5.7.3 Competitive Proposal – Non-Construction Services</vt:lpstr>
      <vt:lpstr>    5.7.4 Construction and Material/Equipment Purchases</vt:lpstr>
      <vt:lpstr>    5.7.5 Certificate of Construction Completion (COCC)</vt:lpstr>
      <vt:lpstr>5.8 Federal and State Laws Governing Procurement of Services, Supplies and Non-R</vt:lpstr>
      <vt:lpstr>    </vt:lpstr>
      <vt:lpstr>    5.8.1 State Laws &amp; Regulations</vt:lpstr>
      <vt:lpstr>    5.8.2 Federal Laws &amp; Regulations</vt:lpstr>
      <vt:lpstr>    Resources</vt:lpstr>
    </vt:vector>
  </TitlesOfParts>
  <Company/>
  <LinksUpToDate>false</LinksUpToDate>
  <CharactersWithSpaces>93012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16</cp:revision>
  <cp:lastPrinted>2023-12-07T16:45:00Z</cp:lastPrinted>
  <dcterms:created xsi:type="dcterms:W3CDTF">2023-08-15T15:09:00Z</dcterms:created>
  <dcterms:modified xsi:type="dcterms:W3CDTF">2024-07-13T23:15:00Z</dcterms:modified>
</cp:coreProperties>
</file>